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-454660</wp:posOffset>
            </wp:positionV>
            <wp:extent cx="7595870" cy="10744835"/>
            <wp:effectExtent l="0" t="0" r="5080" b="18415"/>
            <wp:wrapNone/>
            <wp:docPr id="1" name="ABU设计" descr="F:\稻壳-阿源设计\H活动供稿\2019-08-08-封面\2-宣传画册-20-10\改\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U设计" descr="F:\稻壳-阿源设计\H活动供稿\2019-08-08-封面\2-宣传画册-20-10\改\11.jpg11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95870" cy="107448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spacing w:before="10" w:after="1"/>
        <w:rPr>
          <w:b/>
          <w:sz w:val="17"/>
        </w:rPr>
        <w:sectPr>
          <w:headerReference r:id="rId5" w:type="default"/>
          <w:footerReference r:id="rId6" w:type="default"/>
          <w:pgSz w:w="11910" w:h="16840"/>
          <w:pgMar w:top="697" w:right="454" w:bottom="697" w:left="567" w:header="0" w:footer="0" w:gutter="0"/>
          <w:cols w:space="720" w:num="1"/>
        </w:sectPr>
      </w:pPr>
      <w:r>
        <w:rPr>
          <w:sz w:val="1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169545</wp:posOffset>
                </wp:positionH>
                <wp:positionV relativeFrom="paragraph">
                  <wp:posOffset>5778500</wp:posOffset>
                </wp:positionV>
                <wp:extent cx="3848100" cy="810260"/>
                <wp:effectExtent l="0" t="0" r="0" b="889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62330" y="2677795"/>
                          <a:ext cx="3848100" cy="810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360" w:lineRule="auto"/>
                              <w:ind w:left="23" w:right="0" w:firstLine="0"/>
                              <w:jc w:val="center"/>
                              <w:textAlignment w:val="auto"/>
                              <w:rPr>
                                <w:rFonts w:hint="eastAsia" w:ascii="华文新魏" w:hAnsi="华文新魏" w:eastAsia="华文新魏" w:cs="华文新魏"/>
                                <w:b w:val="0"/>
                                <w:bCs w:val="0"/>
                                <w:i w:val="0"/>
                                <w:iCs w:val="0"/>
                                <w:color w:val="auto"/>
                                <w:sz w:val="100"/>
                                <w:szCs w:val="100"/>
                                <w:u w:val="none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i w:val="0"/>
                                <w:iCs w:val="0"/>
                                <w:color w:val="auto"/>
                                <w:sz w:val="72"/>
                                <w:szCs w:val="72"/>
                                <w:u w:val="none"/>
                              </w:rPr>
                              <w:t>压缩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i w:val="0"/>
                                <w:iCs w:val="0"/>
                                <w:color w:val="auto"/>
                                <w:sz w:val="72"/>
                                <w:szCs w:val="72"/>
                                <w:u w:val="none"/>
                                <w:lang w:eastAsia="zh-CN"/>
                              </w:rPr>
                              <w:t>式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i w:val="0"/>
                                <w:iCs w:val="0"/>
                                <w:color w:val="auto"/>
                                <w:sz w:val="72"/>
                                <w:szCs w:val="72"/>
                                <w:u w:val="none"/>
                              </w:rPr>
                              <w:t>垃圾车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35pt;margin-top:455pt;height:63.8pt;width:303pt;z-index:251661312;mso-width-relative:page;mso-height-relative:page;" fillcolor="#FFFFFF [3201]" filled="t" stroked="f" coordsize="21600,21600" o:gfxdata="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c6pvC&#10;1gAAAAsBAAAPAAAAAAAAAAEAIAAAACIAAABkcnMvZG93bnJldi54bWxQSwECFAAUAAAACACHTuJA&#10;s1XiUVwCAACc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360" w:lineRule="auto"/>
                        <w:ind w:left="23" w:right="0" w:firstLine="0"/>
                        <w:jc w:val="center"/>
                        <w:textAlignment w:val="auto"/>
                        <w:rPr>
                          <w:rFonts w:hint="eastAsia" w:ascii="华文新魏" w:hAnsi="华文新魏" w:eastAsia="华文新魏" w:cs="华文新魏"/>
                          <w:b w:val="0"/>
                          <w:bCs w:val="0"/>
                          <w:i w:val="0"/>
                          <w:iCs w:val="0"/>
                          <w:color w:val="auto"/>
                          <w:sz w:val="100"/>
                          <w:szCs w:val="100"/>
                          <w:u w:val="none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i w:val="0"/>
                          <w:iCs w:val="0"/>
                          <w:color w:val="auto"/>
                          <w:sz w:val="72"/>
                          <w:szCs w:val="72"/>
                          <w:u w:val="none"/>
                        </w:rPr>
                        <w:t>压缩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i w:val="0"/>
                          <w:iCs w:val="0"/>
                          <w:color w:val="auto"/>
                          <w:sz w:val="72"/>
                          <w:szCs w:val="72"/>
                          <w:u w:val="none"/>
                          <w:lang w:eastAsia="zh-CN"/>
                        </w:rPr>
                        <w:t>式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i w:val="0"/>
                          <w:iCs w:val="0"/>
                          <w:color w:val="auto"/>
                          <w:sz w:val="72"/>
                          <w:szCs w:val="72"/>
                          <w:u w:val="none"/>
                        </w:rPr>
                        <w:t>垃圾车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1207135</wp:posOffset>
                </wp:positionH>
                <wp:positionV relativeFrom="paragraph">
                  <wp:posOffset>862965</wp:posOffset>
                </wp:positionV>
                <wp:extent cx="1637665" cy="4487545"/>
                <wp:effectExtent l="0" t="0" r="635" b="825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8205" y="1704975"/>
                          <a:ext cx="1637665" cy="4487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迷你简汉真广标" w:hAnsi="迷你简汉真广标" w:eastAsia="迷你简汉真广标" w:cs="迷你简汉真广标"/>
                                <w:color w:val="31859C" w:themeColor="accent5" w:themeShade="BF"/>
                                <w:sz w:val="140"/>
                                <w:szCs w:val="1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迷你简汉真广标" w:hAnsi="迷你简汉真广标" w:eastAsia="迷你简汉真广标" w:cs="迷你简汉真广标"/>
                                <w:color w:val="31859C" w:themeColor="accent5" w:themeShade="BF"/>
                                <w:sz w:val="154"/>
                                <w:szCs w:val="154"/>
                                <w:lang w:eastAsia="zh-CN"/>
                              </w:rPr>
                              <w:t>凯马蓝牌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05pt;margin-top:67.95pt;height:353.35pt;width:128.95pt;z-index:251662336;mso-width-relative:page;mso-height-relative:page;" fillcolor="#FFFFFF [3201]" filled="t" stroked="f" coordsize="21600,21600" o:gfxdata="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mKCsrYAAAACwEAAA8AAAAAAAAAAQAgAAAAIgAAAGRycy9kb3ducmV2LnhtbFBLAQIUABQA&#10;AAAIAIdO4kCfEqVKYgIAAKAEAAAOAAAAAAAAAAEAIAAAACcBAABkcnMvZTJvRG9jLnhtbFBLBQYA&#10;AAAABgAGAFkBAAD7BQAAAAA=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迷你简汉真广标" w:hAnsi="迷你简汉真广标" w:eastAsia="迷你简汉真广标" w:cs="迷你简汉真广标"/>
                          <w:color w:val="31859C" w:themeColor="accent5" w:themeShade="BF"/>
                          <w:sz w:val="140"/>
                          <w:szCs w:val="140"/>
                          <w:lang w:eastAsia="zh-CN"/>
                        </w:rPr>
                      </w:pPr>
                      <w:r>
                        <w:rPr>
                          <w:rFonts w:hint="eastAsia" w:ascii="迷你简汉真广标" w:hAnsi="迷你简汉真广标" w:eastAsia="迷你简汉真广标" w:cs="迷你简汉真广标"/>
                          <w:color w:val="31859C" w:themeColor="accent5" w:themeShade="BF"/>
                          <w:sz w:val="154"/>
                          <w:szCs w:val="154"/>
                          <w:lang w:eastAsia="zh-CN"/>
                        </w:rPr>
                        <w:t>凯马蓝牌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/>
        <w:jc w:val="both"/>
        <w:textAlignment w:val="auto"/>
        <w:rPr>
          <w:sz w:val="36"/>
          <w:szCs w:val="36"/>
        </w:rPr>
      </w:pPr>
      <w:r>
        <w:rPr>
          <w:rFonts w:hint="eastAsia" w:eastAsia="宋体"/>
          <w:sz w:val="36"/>
          <w:szCs w:val="36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188595</wp:posOffset>
            </wp:positionH>
            <wp:positionV relativeFrom="paragraph">
              <wp:posOffset>444500</wp:posOffset>
            </wp:positionV>
            <wp:extent cx="6228715" cy="4483100"/>
            <wp:effectExtent l="0" t="0" r="0" b="0"/>
            <wp:wrapTopAndBottom/>
            <wp:docPr id="23" name="图片 23" descr="凯马蓝牌压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凯马蓝牌压缩"/>
                    <pic:cNvPicPr>
                      <a:picLocks noChangeAspect="1"/>
                    </pic:cNvPicPr>
                  </pic:nvPicPr>
                  <pic:blipFill>
                    <a:blip r:embed="rId10">
                      <a:lum bright="18000" contrast="6000"/>
                    </a:blip>
                    <a:srcRect l="2716" t="9584" r="11502" b="8093"/>
                    <a:stretch>
                      <a:fillRect/>
                    </a:stretch>
                  </pic:blipFill>
                  <pic:spPr>
                    <a:xfrm>
                      <a:off x="0" y="0"/>
                      <a:ext cx="6228715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380" w:firstLine="723" w:firstLineChars="200"/>
        <w:textAlignment w:val="auto"/>
        <w:rPr>
          <w:sz w:val="36"/>
          <w:szCs w:val="36"/>
        </w:rPr>
      </w:pPr>
      <w:r>
        <w:rPr>
          <w:sz w:val="36"/>
          <w:szCs w:val="36"/>
        </w:rPr>
        <w:t>一、产品简述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1064" w:firstLineChars="400"/>
        <w:jc w:val="left"/>
        <w:textAlignment w:val="auto"/>
        <w:rPr>
          <w:spacing w:val="-7"/>
          <w:sz w:val="28"/>
          <w:szCs w:val="28"/>
        </w:rPr>
      </w:pPr>
      <w:r>
        <w:rPr>
          <w:spacing w:val="-7"/>
          <w:sz w:val="28"/>
          <w:szCs w:val="28"/>
        </w:rPr>
        <w:t>压缩式垃圾车由密封式垃圾厢、液压系统、操作系统组成。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360" w:lineRule="auto"/>
        <w:ind w:left="279" w:leftChars="127" w:right="717" w:firstLine="798" w:firstLineChars="300"/>
        <w:jc w:val="left"/>
        <w:textAlignment w:val="auto"/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</w:pPr>
      <w:r>
        <w:rPr>
          <w:spacing w:val="-7"/>
          <w:sz w:val="28"/>
          <w:szCs w:val="28"/>
        </w:rPr>
        <w:t>整车为全密封型，</w:t>
      </w:r>
      <w:r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  <w:t>自行压缩、自行倾倒、压缩过程中的污水全部进入污水厢，较为彻底的解决了垃圾运输过程</w:t>
      </w:r>
      <w:r>
        <w:rPr>
          <w:spacing w:val="-10"/>
          <w:sz w:val="28"/>
          <w:szCs w:val="28"/>
        </w:rPr>
        <w:t>中的二次污染的问题，避免</w:t>
      </w:r>
      <w:r>
        <w:rPr>
          <w:sz w:val="28"/>
          <w:szCs w:val="28"/>
        </w:rPr>
        <w:t>了给人们带来不便，关键部件采用进口部件，具有压力大、密封性好、操作方便、安全等优点。</w:t>
      </w:r>
      <w:r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  <w:t>由于压缩式垃圾车上装结构复杂，自质量较大，降低压缩式垃圾车自质量</w:t>
      </w:r>
      <w:r>
        <w:rPr>
          <w:rFonts w:hint="eastAsia" w:ascii="宋体" w:hAnsi="宋体" w:eastAsia="宋体" w:cs="宋体"/>
          <w:spacing w:val="-7"/>
          <w:sz w:val="28"/>
          <w:szCs w:val="28"/>
          <w:lang w:val="zh-CN" w:eastAsia="zh-CN" w:bidi="zh-CN"/>
        </w:rPr>
        <w:t>，提</w:t>
      </w:r>
      <w:r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  <w:t>高其载荷利用率，将降低车辆运营成本。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360" w:lineRule="auto"/>
        <w:ind w:left="279" w:leftChars="127" w:right="717" w:firstLine="798" w:firstLineChars="300"/>
        <w:jc w:val="left"/>
        <w:textAlignment w:val="auto"/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</w:pPr>
      <w:r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  <w:t>因此采用高强度材料，以降低上装自质量;挡泥板、装饰件、盖板等辅助件可采用密度较小的注塑件，采用集成化程度较高的零部件，以减少空间占用和自质量，同时有利于改善液压系统的工作性能。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line="240" w:lineRule="auto"/>
        <w:ind w:left="380" w:right="717" w:firstLine="480"/>
        <w:jc w:val="left"/>
        <w:textAlignment w:val="auto"/>
        <w:rPr>
          <w:rFonts w:ascii="宋体" w:hAnsi="宋体" w:eastAsia="宋体" w:cs="宋体"/>
          <w:spacing w:val="-7"/>
          <w:sz w:val="28"/>
          <w:szCs w:val="28"/>
          <w:lang w:val="zh-CN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sz w:val="36"/>
          <w:szCs w:val="36"/>
        </w:rPr>
      </w:pP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rFonts w:hint="eastAsia"/>
          <w:b/>
          <w:bCs/>
          <w:sz w:val="36"/>
          <w:szCs w:val="36"/>
          <w:lang w:eastAsia="zh-CN"/>
        </w:rPr>
      </w:pP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361" w:firstLineChars="100"/>
        <w:jc w:val="left"/>
        <w:textAlignment w:val="auto"/>
      </w:pPr>
      <w:r>
        <w:rPr>
          <w:rFonts w:hint="eastAsia"/>
          <w:b/>
          <w:bCs/>
          <w:sz w:val="36"/>
          <w:szCs w:val="36"/>
          <w:lang w:eastAsia="zh-CN"/>
        </w:rPr>
        <w:t>二、</w:t>
      </w:r>
      <w:r>
        <w:rPr>
          <w:b/>
          <w:bCs/>
          <w:sz w:val="36"/>
          <w:szCs w:val="36"/>
        </w:rPr>
        <w:t>产品主要技术参数</w:t>
      </w:r>
    </w:p>
    <w:tbl>
      <w:tblPr>
        <w:tblStyle w:val="7"/>
        <w:tblpPr w:leftFromText="180" w:rightFromText="180" w:vertAnchor="text" w:horzAnchor="page" w:tblpX="854" w:tblpY="90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5"/>
        <w:gridCol w:w="3843"/>
        <w:gridCol w:w="342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D9D9D9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firstLine="0" w:firstLineChars="0"/>
              <w:jc w:val="center"/>
              <w:textAlignment w:val="auto"/>
              <w:rPr>
                <w:rFonts w:hint="eastAsia" w:eastAsia="宋体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/>
                <w:b/>
                <w:bCs w:val="0"/>
                <w:sz w:val="32"/>
                <w:szCs w:val="32"/>
                <w:lang w:eastAsia="zh-CN"/>
              </w:rPr>
              <w:t>项目</w:t>
            </w:r>
          </w:p>
        </w:tc>
        <w:tc>
          <w:tcPr>
            <w:tcW w:w="384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vAlign w:val="center"/>
          </w:tcPr>
          <w:p>
            <w:pPr>
              <w:pStyle w:val="11"/>
              <w:ind w:right="1302"/>
              <w:jc w:val="center"/>
              <w:rPr>
                <w:rFonts w:hint="eastAsia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/>
                <w:b/>
                <w:bCs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bCs w:val="0"/>
                <w:sz w:val="32"/>
                <w:szCs w:val="32"/>
                <w:lang w:eastAsia="zh-CN"/>
              </w:rPr>
              <w:t>参数</w:t>
            </w:r>
          </w:p>
        </w:tc>
        <w:tc>
          <w:tcPr>
            <w:tcW w:w="3420" w:type="dxa"/>
            <w:tcBorders>
              <w:left w:val="single" w:color="000000" w:sz="6" w:space="0"/>
              <w:bottom w:val="single" w:color="000000" w:sz="6" w:space="0"/>
            </w:tcBorders>
            <w:shd w:val="clear" w:color="auto" w:fill="D9D9D9"/>
            <w:vAlign w:val="center"/>
          </w:tcPr>
          <w:p>
            <w:pPr>
              <w:pStyle w:val="11"/>
              <w:ind w:right="345"/>
              <w:jc w:val="center"/>
              <w:rPr>
                <w:b/>
                <w:bCs w:val="0"/>
                <w:sz w:val="32"/>
                <w:szCs w:val="32"/>
              </w:rPr>
            </w:pPr>
            <w:r>
              <w:rPr>
                <w:b/>
                <w:bCs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整车型号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CLW5041ZYSK6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eastAsia="zh-CN"/>
              </w:rPr>
              <w:t>底盘型号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KMC1040B260DP6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轴距（mm）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spacing w:before="1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发动机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云内D20TCIF1国六发动机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126马力（93kw）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2"/>
                <w:lang w:val="zh-CN" w:eastAsia="zh-CN" w:bidi="zh-CN"/>
              </w:rPr>
            </w:pPr>
            <w:r>
              <w:rPr>
                <w:rFonts w:hint="eastAsia"/>
                <w:b/>
                <w:bCs/>
                <w:sz w:val="28"/>
                <w:lang w:eastAsia="zh-CN"/>
              </w:rPr>
              <w:t>变速箱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zh-CN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6档变速箱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大取力器窗口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eastAsia="zh-CN"/>
              </w:rPr>
              <w:t>大梁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160MM大梁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两侧宽度740MM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jc w:val="center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eastAsia="zh-CN"/>
              </w:rPr>
              <w:t>轮胎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6.00R15轮胎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ind w:right="0" w:rightChars="0"/>
              <w:jc w:val="center"/>
              <w:rPr>
                <w:rFonts w:hint="eastAsia" w:eastAsia="宋体"/>
                <w:b/>
                <w:bCs/>
                <w:spacing w:val="-19"/>
                <w:w w:val="100"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pacing w:val="-19"/>
                <w:w w:val="100"/>
                <w:sz w:val="28"/>
                <w:lang w:eastAsia="zh-CN"/>
              </w:rPr>
              <w:t>后桥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1043后桥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2"/>
                <w:lang w:val="zh-CN" w:eastAsia="zh-CN" w:bidi="zh-CN"/>
              </w:rPr>
            </w:pPr>
            <w:r>
              <w:rPr>
                <w:b/>
                <w:bCs/>
                <w:spacing w:val="-19"/>
                <w:w w:val="100"/>
                <w:sz w:val="28"/>
              </w:rPr>
              <w:t>外形尺寸</w:t>
            </w:r>
            <w:r>
              <w:rPr>
                <w:b/>
                <w:bCs/>
                <w:spacing w:val="-3"/>
                <w:w w:val="100"/>
                <w:sz w:val="28"/>
              </w:rPr>
              <w:t>（</w:t>
            </w:r>
            <w:r>
              <w:rPr>
                <w:b/>
                <w:bCs/>
                <w:spacing w:val="1"/>
                <w:w w:val="100"/>
                <w:sz w:val="28"/>
              </w:rPr>
              <w:t>m</w:t>
            </w:r>
            <w:r>
              <w:rPr>
                <w:b/>
                <w:bCs/>
                <w:w w:val="100"/>
                <w:sz w:val="28"/>
              </w:rPr>
              <w:t>m</w:t>
            </w:r>
            <w:r>
              <w:rPr>
                <w:b/>
                <w:bCs/>
                <w:spacing w:val="-140"/>
                <w:w w:val="100"/>
                <w:sz w:val="28"/>
              </w:rPr>
              <w:t>）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zh-CN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995*2000*2150（长宽高）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整车高度2150MM，可进地下车库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ind w:right="0" w:rightChars="0"/>
              <w:jc w:val="center"/>
              <w:rPr>
                <w:rFonts w:ascii="宋体" w:hAnsi="宋体" w:eastAsia="宋体" w:cs="宋体"/>
                <w:b/>
                <w:bCs/>
                <w:sz w:val="28"/>
                <w:szCs w:val="22"/>
                <w:lang w:val="zh-CN" w:eastAsia="zh-CN" w:bidi="zh-CN"/>
              </w:rPr>
            </w:pPr>
            <w:r>
              <w:rPr>
                <w:b/>
                <w:bCs/>
                <w:sz w:val="28"/>
              </w:rPr>
              <w:t>整备质量（kg）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zh-CN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3965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实车称重绝不超重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spacing w:before="253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箱体有效容积（m</w:t>
            </w:r>
            <w:r>
              <w:rPr>
                <w:b/>
                <w:bCs/>
                <w:position w:val="14"/>
                <w:sz w:val="14"/>
              </w:rPr>
              <w:t>3</w:t>
            </w:r>
            <w:r>
              <w:rPr>
                <w:b/>
                <w:bCs/>
                <w:sz w:val="28"/>
              </w:rPr>
              <w:t>）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2"/>
              <w:ind w:left="0" w:right="0"/>
              <w:jc w:val="center"/>
              <w:textAlignment w:val="auto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操作方式</w:t>
            </w:r>
          </w:p>
        </w:tc>
        <w:tc>
          <w:tcPr>
            <w:tcW w:w="3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电控/手动/遥控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93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11"/>
              <w:spacing w:before="134"/>
              <w:ind w:left="773" w:firstLine="281" w:firstLineChars="100"/>
              <w:jc w:val="both"/>
              <w:rPr>
                <w:rFonts w:hint="eastAsia" w:eastAsia="宋体"/>
                <w:b/>
                <w:bCs/>
                <w:sz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lang w:eastAsia="zh-CN"/>
              </w:rPr>
              <w:t>其他</w:t>
            </w:r>
          </w:p>
        </w:tc>
        <w:tc>
          <w:tcPr>
            <w:tcW w:w="72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动转，ABS，原厂空调。电子仪表，安全带提示。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尾气排放监测实时上传终端。</w:t>
            </w:r>
          </w:p>
        </w:tc>
      </w:tr>
    </w:tbl>
    <w:p>
      <w:pPr>
        <w:pStyle w:val="3"/>
        <w:rPr>
          <w:b/>
          <w:sz w:val="1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顺应市场需求，蓝牌压缩不超重能承载车型横空出世！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整车型号CLW5041ZYSK6,整备质量3965kg（实车称重绝不超重），额载400kg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整车长*宽*高（5995*2000*2150）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此车型即完美解决了当前蓝牌严格称重问题，又用云内4气门发动机大马力替代全柴动力不足，而且用1043后桥解决了压缩承载要求较高的后顾之忧。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6档变速箱可代替副变速，解决压缩垃圾车满载状态起步无力情况。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整车高度2150MM，室外地库都好用，凯马蓝牌压缩，用心做细分产品NO.1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exact"/>
        <w:textAlignment w:val="auto"/>
        <w:rPr>
          <w:rFonts w:hint="default" w:ascii="Times New Roman" w:eastAsia="宋体"/>
          <w:sz w:val="28"/>
          <w:lang w:val="en-US" w:eastAsia="zh-CN"/>
        </w:rPr>
        <w:sectPr>
          <w:pgSz w:w="11910" w:h="16840"/>
          <w:pgMar w:top="697" w:right="1134" w:bottom="697" w:left="1134" w:header="0" w:footer="0" w:gutter="0"/>
          <w:cols w:space="720" w:num="1"/>
        </w:sectPr>
      </w:pPr>
      <w:bookmarkStart w:id="0" w:name="_GoBack"/>
      <w:bookmarkEnd w:id="0"/>
    </w:p>
    <w:p>
      <w:pPr>
        <w:spacing w:before="131"/>
        <w:ind w:right="0" w:firstLine="643" w:firstLineChars="200"/>
        <w:jc w:val="left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sz w:val="32"/>
          <w:szCs w:val="32"/>
        </w:rPr>
        <w:t>产品</w:t>
      </w:r>
      <w:r>
        <w:rPr>
          <w:rFonts w:hint="eastAsia" w:cs="宋体"/>
          <w:b/>
          <w:sz w:val="32"/>
          <w:szCs w:val="32"/>
          <w:lang w:eastAsia="zh-CN"/>
        </w:rPr>
        <w:t>上装</w:t>
      </w:r>
      <w:r>
        <w:rPr>
          <w:rFonts w:hint="eastAsia" w:ascii="宋体" w:hAnsi="宋体" w:eastAsia="宋体" w:cs="宋体"/>
          <w:b/>
          <w:sz w:val="32"/>
          <w:szCs w:val="32"/>
        </w:rPr>
        <w:t xml:space="preserve">配置 </w:t>
      </w:r>
    </w:p>
    <w:p>
      <w:pPr>
        <w:pStyle w:val="3"/>
        <w:spacing w:before="2" w:after="1"/>
        <w:rPr>
          <w:b/>
          <w:sz w:val="10"/>
        </w:rPr>
      </w:pPr>
    </w:p>
    <w:tbl>
      <w:tblPr>
        <w:tblStyle w:val="7"/>
        <w:tblW w:w="0" w:type="auto"/>
        <w:tblInd w:w="58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1276"/>
        <w:gridCol w:w="4454"/>
        <w:gridCol w:w="35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68" w:type="dxa"/>
          </w:tcPr>
          <w:p>
            <w:pPr>
              <w:pStyle w:val="11"/>
              <w:spacing w:before="21"/>
              <w:ind w:left="106" w:right="101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276" w:type="dxa"/>
          </w:tcPr>
          <w:p>
            <w:pPr>
              <w:pStyle w:val="11"/>
              <w:spacing w:before="21"/>
              <w:ind w:left="99" w:right="93"/>
              <w:jc w:val="center"/>
              <w:rPr>
                <w:sz w:val="21"/>
              </w:rPr>
            </w:pPr>
            <w:r>
              <w:rPr>
                <w:sz w:val="21"/>
              </w:rPr>
              <w:t>名称</w:t>
            </w:r>
          </w:p>
        </w:tc>
        <w:tc>
          <w:tcPr>
            <w:tcW w:w="4454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图片</w:t>
            </w:r>
          </w:p>
        </w:tc>
        <w:tc>
          <w:tcPr>
            <w:tcW w:w="3520" w:type="dxa"/>
          </w:tcPr>
          <w:p>
            <w:pPr>
              <w:pStyle w:val="11"/>
              <w:spacing w:before="21"/>
              <w:ind w:left="106" w:right="97"/>
              <w:jc w:val="center"/>
              <w:rPr>
                <w:sz w:val="21"/>
              </w:rPr>
            </w:pPr>
            <w:r>
              <w:rPr>
                <w:sz w:val="21"/>
              </w:rPr>
              <w:t>功能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5"/>
              <w:rPr>
                <w:b/>
                <w:sz w:val="29"/>
              </w:rPr>
            </w:pPr>
          </w:p>
          <w:p>
            <w:pPr>
              <w:pStyle w:val="1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132"/>
              <w:ind w:left="101" w:right="93"/>
              <w:jc w:val="center"/>
              <w:rPr>
                <w:sz w:val="21"/>
              </w:rPr>
            </w:pPr>
            <w:r>
              <w:rPr>
                <w:sz w:val="21"/>
              </w:rPr>
              <w:t>箱体结构</w:t>
            </w:r>
          </w:p>
        </w:tc>
        <w:tc>
          <w:tcPr>
            <w:tcW w:w="4454" w:type="dxa"/>
          </w:tcPr>
          <w:p>
            <w:pPr>
              <w:pStyle w:val="11"/>
              <w:spacing w:before="5"/>
              <w:rPr>
                <w:b/>
                <w:sz w:val="2"/>
              </w:rPr>
            </w:pPr>
          </w:p>
          <w:p>
            <w:pPr>
              <w:pStyle w:val="11"/>
              <w:ind w:left="9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4500" cy="952500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4.jpe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2"/>
              <w:rPr>
                <w:b/>
                <w:sz w:val="18"/>
              </w:rPr>
            </w:pPr>
          </w:p>
          <w:p>
            <w:pPr>
              <w:pStyle w:val="11"/>
              <w:spacing w:line="278" w:lineRule="auto"/>
              <w:ind w:left="735" w:right="98" w:hanging="629"/>
              <w:rPr>
                <w:sz w:val="21"/>
              </w:rPr>
            </w:pPr>
            <w:r>
              <w:rPr>
                <w:sz w:val="21"/>
              </w:rPr>
              <w:t>弧形箱体，相比于老款方形箱体，更加美观，同时容积更大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7"/>
              <w:rPr>
                <w:b/>
                <w:sz w:val="19"/>
              </w:rPr>
            </w:pPr>
          </w:p>
          <w:p>
            <w:pPr>
              <w:pStyle w:val="1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6"/>
              <w:rPr>
                <w:b/>
                <w:sz w:val="22"/>
              </w:rPr>
            </w:pPr>
          </w:p>
          <w:p>
            <w:pPr>
              <w:pStyle w:val="11"/>
              <w:ind w:left="99" w:right="93"/>
              <w:jc w:val="center"/>
              <w:rPr>
                <w:sz w:val="21"/>
              </w:rPr>
            </w:pPr>
            <w:r>
              <w:rPr>
                <w:sz w:val="21"/>
              </w:rPr>
              <w:t>污水箱</w:t>
            </w:r>
          </w:p>
        </w:tc>
        <w:tc>
          <w:tcPr>
            <w:tcW w:w="4454" w:type="dxa"/>
          </w:tcPr>
          <w:p>
            <w:pPr>
              <w:pStyle w:val="11"/>
              <w:spacing w:before="9"/>
              <w:rPr>
                <w:b/>
                <w:sz w:val="2"/>
              </w:rPr>
            </w:pPr>
          </w:p>
          <w:p>
            <w:pPr>
              <w:pStyle w:val="11"/>
              <w:ind w:left="9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4500" cy="1143000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5.jpe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1"/>
              <w:rPr>
                <w:b/>
                <w:sz w:val="18"/>
              </w:rPr>
            </w:pPr>
          </w:p>
          <w:p>
            <w:pPr>
              <w:pStyle w:val="11"/>
              <w:spacing w:line="278" w:lineRule="auto"/>
              <w:ind w:left="106" w:right="98"/>
              <w:jc w:val="center"/>
              <w:rPr>
                <w:sz w:val="21"/>
              </w:rPr>
            </w:pPr>
            <w:r>
              <w:rPr>
                <w:sz w:val="21"/>
              </w:rPr>
              <w:t>尾部填充器下部带一个无水箱，从而有效的杜绝在使用中污水泄漏问题，以及排放问题。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6"/>
              <w:rPr>
                <w:b/>
                <w:sz w:val="19"/>
              </w:rPr>
            </w:pPr>
          </w:p>
          <w:p>
            <w:pPr>
              <w:pStyle w:val="11"/>
              <w:spacing w:before="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5"/>
              <w:rPr>
                <w:b/>
                <w:sz w:val="22"/>
              </w:rPr>
            </w:pPr>
          </w:p>
          <w:p>
            <w:pPr>
              <w:pStyle w:val="11"/>
              <w:spacing w:before="1"/>
              <w:ind w:left="101" w:right="93"/>
              <w:jc w:val="center"/>
              <w:rPr>
                <w:sz w:val="21"/>
              </w:rPr>
            </w:pPr>
            <w:r>
              <w:rPr>
                <w:sz w:val="21"/>
              </w:rPr>
              <w:t>油管平衡器</w:t>
            </w:r>
          </w:p>
        </w:tc>
        <w:tc>
          <w:tcPr>
            <w:tcW w:w="4454" w:type="dxa"/>
          </w:tcPr>
          <w:p>
            <w:pPr>
              <w:pStyle w:val="11"/>
              <w:spacing w:before="11"/>
              <w:rPr>
                <w:b/>
                <w:sz w:val="2"/>
              </w:rPr>
            </w:pPr>
          </w:p>
          <w:p>
            <w:pPr>
              <w:pStyle w:val="11"/>
              <w:ind w:left="9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3865" cy="1143000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6.jpe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499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4"/>
              </w:rPr>
            </w:pPr>
          </w:p>
          <w:p>
            <w:pPr>
              <w:pStyle w:val="11"/>
              <w:spacing w:before="162" w:line="242" w:lineRule="auto"/>
              <w:ind w:left="106" w:right="218"/>
              <w:rPr>
                <w:b/>
                <w:sz w:val="24"/>
              </w:rPr>
            </w:pPr>
            <w:r>
              <w:rPr>
                <w:sz w:val="24"/>
              </w:rPr>
              <w:t>保证油缸运行的平稳性与安全性,装载能力强、装载容积大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8"/>
              <w:rPr>
                <w:b/>
                <w:sz w:val="19"/>
              </w:rPr>
            </w:pPr>
          </w:p>
          <w:p>
            <w:pPr>
              <w:pStyle w:val="11"/>
              <w:spacing w:before="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4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7"/>
              <w:rPr>
                <w:b/>
                <w:sz w:val="22"/>
              </w:rPr>
            </w:pPr>
          </w:p>
          <w:p>
            <w:pPr>
              <w:pStyle w:val="11"/>
              <w:spacing w:before="1"/>
              <w:ind w:left="101" w:right="93"/>
              <w:jc w:val="center"/>
              <w:rPr>
                <w:sz w:val="21"/>
              </w:rPr>
            </w:pPr>
            <w:r>
              <w:rPr>
                <w:sz w:val="21"/>
              </w:rPr>
              <w:t>多路阀机组</w:t>
            </w:r>
          </w:p>
        </w:tc>
        <w:tc>
          <w:tcPr>
            <w:tcW w:w="4454" w:type="dxa"/>
          </w:tcPr>
          <w:p>
            <w:pPr>
              <w:pStyle w:val="11"/>
              <w:spacing w:before="11"/>
              <w:rPr>
                <w:b/>
                <w:sz w:val="2"/>
              </w:rPr>
            </w:pPr>
          </w:p>
          <w:p>
            <w:pPr>
              <w:pStyle w:val="11"/>
              <w:ind w:left="9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4500" cy="1143000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7.jpe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4"/>
              </w:rPr>
            </w:pPr>
          </w:p>
          <w:p>
            <w:pPr>
              <w:pStyle w:val="11"/>
              <w:rPr>
                <w:b/>
                <w:sz w:val="24"/>
              </w:rPr>
            </w:pPr>
          </w:p>
          <w:p>
            <w:pPr>
              <w:pStyle w:val="11"/>
              <w:spacing w:before="169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可手动集中控制，方便维护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10"/>
              <w:rPr>
                <w:b/>
                <w:sz w:val="31"/>
              </w:rPr>
            </w:pPr>
          </w:p>
          <w:p>
            <w:pPr>
              <w:pStyle w:val="11"/>
              <w:spacing w:before="1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5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10"/>
              <w:rPr>
                <w:b/>
                <w:sz w:val="31"/>
              </w:rPr>
            </w:pPr>
          </w:p>
          <w:p>
            <w:pPr>
              <w:pStyle w:val="11"/>
              <w:spacing w:before="1"/>
              <w:ind w:left="101" w:right="8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PLC</w:t>
            </w:r>
          </w:p>
        </w:tc>
        <w:tc>
          <w:tcPr>
            <w:tcW w:w="4454" w:type="dxa"/>
          </w:tcPr>
          <w:p>
            <w:pPr>
              <w:pStyle w:val="11"/>
              <w:spacing w:before="9" w:after="1"/>
              <w:rPr>
                <w:b/>
                <w:sz w:val="9"/>
              </w:rPr>
            </w:pPr>
          </w:p>
          <w:p>
            <w:pPr>
              <w:pStyle w:val="11"/>
              <w:ind w:left="7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24050" cy="1238250"/>
                  <wp:effectExtent l="0" t="0" r="0" b="0"/>
                  <wp:docPr id="15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8.jpe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286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4"/>
              </w:rPr>
            </w:pPr>
          </w:p>
          <w:p>
            <w:pPr>
              <w:pStyle w:val="11"/>
              <w:rPr>
                <w:b/>
                <w:sz w:val="24"/>
              </w:rPr>
            </w:pPr>
          </w:p>
          <w:p>
            <w:pPr>
              <w:pStyle w:val="11"/>
              <w:spacing w:before="169" w:line="242" w:lineRule="auto"/>
              <w:ind w:left="1424" w:right="32" w:hanging="1313"/>
              <w:rPr>
                <w:b/>
                <w:sz w:val="24"/>
              </w:rPr>
            </w:pPr>
            <w:r>
              <w:rPr>
                <w:sz w:val="21"/>
              </w:rPr>
              <w:t>自动控制单元，</w:t>
            </w:r>
            <w:r>
              <w:rPr>
                <w:b/>
                <w:sz w:val="24"/>
              </w:rPr>
              <w:t>简单化操作，操作不卡顿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8"/>
              <w:rPr>
                <w:b/>
                <w:sz w:val="19"/>
              </w:rPr>
            </w:pPr>
          </w:p>
          <w:p>
            <w:pPr>
              <w:pStyle w:val="1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6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7"/>
              <w:rPr>
                <w:b/>
                <w:sz w:val="22"/>
              </w:rPr>
            </w:pPr>
          </w:p>
          <w:p>
            <w:pPr>
              <w:pStyle w:val="11"/>
              <w:ind w:left="101" w:right="93"/>
              <w:jc w:val="center"/>
              <w:rPr>
                <w:sz w:val="21"/>
              </w:rPr>
            </w:pPr>
            <w:r>
              <w:rPr>
                <w:sz w:val="21"/>
              </w:rPr>
              <w:t>光电感应</w:t>
            </w:r>
          </w:p>
        </w:tc>
        <w:tc>
          <w:tcPr>
            <w:tcW w:w="4454" w:type="dxa"/>
          </w:tcPr>
          <w:p>
            <w:pPr>
              <w:pStyle w:val="11"/>
              <w:spacing w:before="10"/>
              <w:rPr>
                <w:b/>
                <w:sz w:val="2"/>
              </w:rPr>
            </w:pPr>
          </w:p>
          <w:p>
            <w:pPr>
              <w:pStyle w:val="11"/>
              <w:ind w:left="9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4500" cy="1143000"/>
                  <wp:effectExtent l="0" t="0" r="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9.jpe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7"/>
              <w:rPr>
                <w:b/>
                <w:sz w:val="22"/>
              </w:rPr>
            </w:pPr>
          </w:p>
          <w:p>
            <w:pPr>
              <w:pStyle w:val="11"/>
              <w:ind w:left="106" w:right="97"/>
              <w:jc w:val="center"/>
              <w:rPr>
                <w:sz w:val="21"/>
              </w:rPr>
            </w:pPr>
            <w:r>
              <w:rPr>
                <w:sz w:val="21"/>
              </w:rPr>
              <w:t>可检测油缸行程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</w:trPr>
        <w:tc>
          <w:tcPr>
            <w:tcW w:w="668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7"/>
              <w:rPr>
                <w:b/>
                <w:sz w:val="19"/>
              </w:rPr>
            </w:pPr>
          </w:p>
          <w:p>
            <w:pPr>
              <w:pStyle w:val="1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7</w:t>
            </w:r>
          </w:p>
        </w:tc>
        <w:tc>
          <w:tcPr>
            <w:tcW w:w="1276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6"/>
              <w:rPr>
                <w:b/>
                <w:sz w:val="22"/>
              </w:rPr>
            </w:pPr>
          </w:p>
          <w:p>
            <w:pPr>
              <w:pStyle w:val="11"/>
              <w:ind w:left="99" w:right="93"/>
              <w:jc w:val="center"/>
              <w:rPr>
                <w:sz w:val="21"/>
              </w:rPr>
            </w:pPr>
            <w:r>
              <w:rPr>
                <w:sz w:val="21"/>
              </w:rPr>
              <w:t>工作灯</w:t>
            </w:r>
          </w:p>
        </w:tc>
        <w:tc>
          <w:tcPr>
            <w:tcW w:w="4454" w:type="dxa"/>
          </w:tcPr>
          <w:p>
            <w:pPr>
              <w:pStyle w:val="11"/>
              <w:spacing w:before="9"/>
              <w:rPr>
                <w:b/>
                <w:sz w:val="2"/>
              </w:rPr>
            </w:pPr>
          </w:p>
          <w:p>
            <w:pPr>
              <w:pStyle w:val="11"/>
              <w:ind w:left="90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13865" cy="1143000"/>
                  <wp:effectExtent l="0" t="0" r="0" b="0"/>
                  <wp:docPr id="19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0.jpe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499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6"/>
              <w:rPr>
                <w:b/>
                <w:sz w:val="22"/>
              </w:rPr>
            </w:pPr>
          </w:p>
          <w:p>
            <w:pPr>
              <w:pStyle w:val="11"/>
              <w:ind w:left="102" w:right="98"/>
              <w:jc w:val="center"/>
              <w:rPr>
                <w:sz w:val="21"/>
              </w:rPr>
            </w:pPr>
            <w:r>
              <w:rPr>
                <w:sz w:val="21"/>
              </w:rPr>
              <w:t>夜晚工作， 犹如白昼</w:t>
            </w:r>
          </w:p>
        </w:tc>
      </w:tr>
    </w:tbl>
    <w:p>
      <w:pPr>
        <w:spacing w:after="0"/>
        <w:jc w:val="center"/>
        <w:rPr>
          <w:sz w:val="21"/>
        </w:rPr>
        <w:sectPr>
          <w:pgSz w:w="11910" w:h="16840"/>
          <w:pgMar w:top="697" w:right="454" w:bottom="697" w:left="567" w:header="0" w:footer="0" w:gutter="0"/>
          <w:cols w:space="720" w:num="1"/>
        </w:sectPr>
      </w:pPr>
    </w:p>
    <w:p>
      <w:pPr>
        <w:spacing w:before="131"/>
        <w:ind w:right="0" w:firstLine="280" w:firstLineChars="100"/>
        <w:jc w:val="left"/>
        <w:rPr>
          <w:b/>
          <w:sz w:val="28"/>
        </w:rPr>
      </w:pPr>
      <w:r>
        <w:rPr>
          <w:rFonts w:ascii="Times New Roman" w:eastAsia="Times New Roman"/>
          <w:b/>
          <w:sz w:val="28"/>
        </w:rPr>
        <w:t xml:space="preserve"> </w:t>
      </w:r>
      <w:r>
        <w:rPr>
          <w:rFonts w:hint="eastAsia" w:ascii="Times New Roman"/>
          <w:b/>
          <w:sz w:val="28"/>
          <w:lang w:val="en-US" w:eastAsia="zh-CN"/>
        </w:rPr>
        <w:t xml:space="preserve">    </w:t>
      </w:r>
      <w:r>
        <w:rPr>
          <w:b/>
          <w:sz w:val="28"/>
        </w:rPr>
        <w:t>选配</w:t>
      </w:r>
    </w:p>
    <w:tbl>
      <w:tblPr>
        <w:tblStyle w:val="7"/>
        <w:tblpPr w:leftFromText="180" w:rightFromText="180" w:vertAnchor="text" w:horzAnchor="page" w:tblpX="964" w:tblpY="87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2282"/>
        <w:gridCol w:w="3346"/>
        <w:gridCol w:w="35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115" w:type="dxa"/>
          </w:tcPr>
          <w:p>
            <w:pPr>
              <w:pStyle w:val="11"/>
              <w:spacing w:before="21"/>
              <w:ind w:left="230" w:right="226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2282" w:type="dxa"/>
          </w:tcPr>
          <w:p>
            <w:pPr>
              <w:pStyle w:val="11"/>
              <w:spacing w:before="21"/>
              <w:ind w:left="424" w:right="419"/>
              <w:jc w:val="center"/>
              <w:rPr>
                <w:sz w:val="21"/>
              </w:rPr>
            </w:pPr>
            <w:r>
              <w:rPr>
                <w:sz w:val="21"/>
              </w:rPr>
              <w:t>名称</w:t>
            </w:r>
          </w:p>
        </w:tc>
        <w:tc>
          <w:tcPr>
            <w:tcW w:w="3346" w:type="dxa"/>
          </w:tcPr>
          <w:p>
            <w:pPr>
              <w:pStyle w:val="11"/>
              <w:spacing w:before="21"/>
              <w:ind w:left="949" w:right="943"/>
              <w:jc w:val="center"/>
              <w:rPr>
                <w:sz w:val="21"/>
              </w:rPr>
            </w:pPr>
            <w:r>
              <w:rPr>
                <w:sz w:val="21"/>
              </w:rPr>
              <w:t>图片</w:t>
            </w:r>
          </w:p>
        </w:tc>
        <w:tc>
          <w:tcPr>
            <w:tcW w:w="3575" w:type="dxa"/>
          </w:tcPr>
          <w:p>
            <w:pPr>
              <w:pStyle w:val="11"/>
              <w:spacing w:before="21"/>
              <w:ind w:left="905" w:right="898"/>
              <w:jc w:val="center"/>
              <w:rPr>
                <w:sz w:val="21"/>
              </w:rPr>
            </w:pPr>
            <w:r>
              <w:rPr>
                <w:sz w:val="21"/>
              </w:rPr>
              <w:t>功能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</w:trPr>
        <w:tc>
          <w:tcPr>
            <w:tcW w:w="1115" w:type="dxa"/>
          </w:tcPr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rPr>
                <w:b/>
                <w:sz w:val="22"/>
              </w:rPr>
            </w:pPr>
          </w:p>
          <w:p>
            <w:pPr>
              <w:pStyle w:val="11"/>
              <w:spacing w:before="12"/>
              <w:rPr>
                <w:b/>
                <w:sz w:val="21"/>
              </w:rPr>
            </w:pPr>
          </w:p>
          <w:p>
            <w:pPr>
              <w:pStyle w:val="11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2282" w:type="dxa"/>
          </w:tcPr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rPr>
                <w:b/>
                <w:sz w:val="20"/>
              </w:rPr>
            </w:pPr>
          </w:p>
          <w:p>
            <w:pPr>
              <w:pStyle w:val="11"/>
              <w:spacing w:before="11"/>
              <w:rPr>
                <w:b/>
                <w:sz w:val="26"/>
              </w:rPr>
            </w:pPr>
          </w:p>
          <w:p>
            <w:pPr>
              <w:pStyle w:val="11"/>
              <w:ind w:left="424" w:right="419"/>
              <w:jc w:val="center"/>
              <w:rPr>
                <w:sz w:val="21"/>
              </w:rPr>
            </w:pPr>
            <w:r>
              <w:rPr>
                <w:sz w:val="21"/>
              </w:rPr>
              <w:t>遥控操作模块</w:t>
            </w:r>
          </w:p>
        </w:tc>
        <w:tc>
          <w:tcPr>
            <w:tcW w:w="3346" w:type="dxa"/>
          </w:tcPr>
          <w:p>
            <w:pPr>
              <w:pStyle w:val="11"/>
              <w:ind w:left="479"/>
              <w:jc w:val="both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71600" cy="1481455"/>
                  <wp:effectExtent l="0" t="0" r="0" b="4445"/>
                  <wp:docPr id="21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1.jpe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481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  <w:vAlign w:val="top"/>
          </w:tcPr>
          <w:p>
            <w:pPr>
              <w:pStyle w:val="11"/>
              <w:jc w:val="center"/>
              <w:rPr>
                <w:b/>
                <w:sz w:val="20"/>
              </w:rPr>
            </w:pPr>
          </w:p>
          <w:p>
            <w:pPr>
              <w:pStyle w:val="11"/>
              <w:jc w:val="center"/>
              <w:rPr>
                <w:b/>
                <w:sz w:val="20"/>
              </w:rPr>
            </w:pPr>
          </w:p>
          <w:p>
            <w:pPr>
              <w:pStyle w:val="11"/>
              <w:spacing w:before="11"/>
              <w:jc w:val="both"/>
              <w:rPr>
                <w:b/>
                <w:sz w:val="26"/>
              </w:rPr>
            </w:pPr>
          </w:p>
          <w:p>
            <w:pPr>
              <w:pStyle w:val="11"/>
              <w:ind w:left="905" w:right="900"/>
              <w:jc w:val="center"/>
              <w:rPr>
                <w:sz w:val="21"/>
              </w:rPr>
            </w:pPr>
            <w:r>
              <w:rPr>
                <w:sz w:val="21"/>
              </w:rPr>
              <w:t>可通过遥控器操作作业，安全、便捷</w:t>
            </w:r>
          </w:p>
        </w:tc>
      </w:tr>
    </w:tbl>
    <w:p>
      <w:pPr>
        <w:pStyle w:val="3"/>
        <w:spacing w:before="2" w:after="1"/>
        <w:rPr>
          <w:b/>
          <w:sz w:val="10"/>
        </w:rPr>
      </w:pPr>
    </w:p>
    <w:p>
      <w:pPr>
        <w:spacing w:before="107"/>
        <w:ind w:left="380" w:right="0" w:firstLine="0"/>
        <w:jc w:val="left"/>
        <w:rPr>
          <w:rFonts w:hint="eastAsia" w:ascii="黑体" w:eastAsia="黑体"/>
          <w:sz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723" w:firstLineChars="200"/>
        <w:textAlignment w:val="auto"/>
      </w:pPr>
      <w:r>
        <w:rPr>
          <w:rFonts w:hint="eastAsia"/>
          <w:sz w:val="36"/>
          <w:szCs w:val="36"/>
          <w:lang w:eastAsia="zh-CN"/>
        </w:rPr>
        <w:t>四、</w:t>
      </w:r>
      <w:r>
        <w:rPr>
          <w:sz w:val="36"/>
          <w:szCs w:val="36"/>
        </w:rPr>
        <w:t>产品性能及特点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 w:after="0" w:line="360" w:lineRule="auto"/>
        <w:ind w:left="1461" w:right="0" w:hanging="601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弧形箱体，大大增加箱体容积，增加整车美观程度。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after="0" w:line="360" w:lineRule="auto"/>
        <w:ind w:left="380" w:right="720"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8"/>
          <w:szCs w:val="28"/>
        </w:rPr>
        <w:t>取力器采用国内知名品牌，嘉善取力器，专车专配，与发动机，变速箱完美匹配，故障率</w:t>
      </w:r>
      <w:r>
        <w:rPr>
          <w:rFonts w:hint="eastAsia" w:ascii="宋体" w:hAnsi="宋体" w:eastAsia="宋体" w:cs="宋体"/>
          <w:sz w:val="28"/>
          <w:szCs w:val="28"/>
        </w:rPr>
        <w:t>低。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380" w:right="720"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8"/>
          <w:szCs w:val="28"/>
        </w:rPr>
        <w:t>油泵采用国内知名品牌安徽皖液油泵，加装压实阀，增加压缩密度、提高装载量。装载量</w:t>
      </w:r>
      <w:r>
        <w:rPr>
          <w:rFonts w:hint="eastAsia" w:ascii="宋体" w:hAnsi="宋体" w:eastAsia="宋体" w:cs="宋体"/>
          <w:sz w:val="28"/>
          <w:szCs w:val="28"/>
        </w:rPr>
        <w:t>相当于同吨级排非压缩垃圾的两倍半。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380" w:right="717" w:firstLine="48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8"/>
          <w:szCs w:val="28"/>
        </w:rPr>
        <w:t>油箱加大，容积增大，防止液压油高温，所有液压油必须通过液压油过滤机加入油箱，从</w:t>
      </w:r>
      <w:r>
        <w:rPr>
          <w:rFonts w:hint="eastAsia" w:ascii="宋体" w:hAnsi="宋体" w:eastAsia="宋体" w:cs="宋体"/>
          <w:spacing w:val="-8"/>
          <w:sz w:val="28"/>
          <w:szCs w:val="28"/>
        </w:rPr>
        <w:t>而过滤液压油内的杂质，减少故障率，有效的防止配件损坏，多路阀采用中外合资品牌，威森博乐多</w:t>
      </w:r>
      <w:r>
        <w:rPr>
          <w:rFonts w:hint="eastAsia" w:ascii="宋体" w:hAnsi="宋体" w:eastAsia="宋体" w:cs="宋体"/>
          <w:sz w:val="28"/>
          <w:szCs w:val="28"/>
        </w:rPr>
        <w:t>路阀，与威森博乐油缸匹配使用，故障率低，CAN</w:t>
      </w:r>
      <w:r>
        <w:rPr>
          <w:rFonts w:hint="eastAsia" w:ascii="宋体" w:hAnsi="宋体" w:eastAsia="宋体" w:cs="宋体"/>
          <w:spacing w:val="3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总线控制方式；接线少，故障率低，自动显示故障码，方便维护维修。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380" w:right="597" w:firstLine="48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作业自动化：采用光电开关加时间双系统控制，带一键卸料，带无线遥控装置，全部填装</w:t>
      </w:r>
      <w:r>
        <w:rPr>
          <w:rFonts w:hint="eastAsia" w:ascii="宋体" w:hAnsi="宋体" w:eastAsia="宋体" w:cs="宋体"/>
          <w:spacing w:val="-11"/>
          <w:sz w:val="28"/>
          <w:szCs w:val="28"/>
        </w:rPr>
        <w:t>排卸作业中只需司机一人操作，可设定全自动和半自动</w:t>
      </w:r>
      <w:r>
        <w:rPr>
          <w:rFonts w:hint="eastAsia" w:cs="宋体"/>
          <w:spacing w:val="-11"/>
          <w:sz w:val="28"/>
          <w:szCs w:val="28"/>
          <w:lang w:eastAsia="zh-CN"/>
        </w:rPr>
        <w:t>两</w:t>
      </w:r>
      <w:r>
        <w:rPr>
          <w:rFonts w:hint="eastAsia" w:ascii="宋体" w:hAnsi="宋体" w:eastAsia="宋体" w:cs="宋体"/>
          <w:spacing w:val="-12"/>
          <w:sz w:val="28"/>
          <w:szCs w:val="28"/>
        </w:rPr>
        <w:t xml:space="preserve">种操作模式，不仅减轻环卫工人的劳动强度， </w:t>
      </w:r>
      <w:r>
        <w:rPr>
          <w:rFonts w:hint="eastAsia" w:ascii="宋体" w:hAnsi="宋体" w:eastAsia="宋体" w:cs="宋体"/>
          <w:sz w:val="28"/>
          <w:szCs w:val="28"/>
        </w:rPr>
        <w:t>而且大大改善了工作环境。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380" w:right="717" w:firstLine="48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"/>
          <w:sz w:val="28"/>
          <w:szCs w:val="28"/>
        </w:rPr>
        <w:t>双保险系统：作业系统具有电脑控制和手动操纵双重功能，大大地保障和提高车辆的使用</w:t>
      </w:r>
      <w:r>
        <w:rPr>
          <w:rFonts w:hint="eastAsia" w:ascii="宋体" w:hAnsi="宋体" w:eastAsia="宋体" w:cs="宋体"/>
          <w:spacing w:val="-11"/>
          <w:sz w:val="28"/>
          <w:szCs w:val="28"/>
        </w:rPr>
        <w:t>率。压力调节阀变换位置，防止客户擅自调节压力，取力器加装警示语，提醒客户开关取力器，防止</w:t>
      </w:r>
      <w:r>
        <w:rPr>
          <w:rFonts w:hint="eastAsia" w:ascii="宋体" w:hAnsi="宋体" w:eastAsia="宋体" w:cs="宋体"/>
          <w:sz w:val="28"/>
          <w:szCs w:val="28"/>
        </w:rPr>
        <w:t>取力器损坏。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46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461" w:right="0" w:hanging="601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翻转机构：可选装配置带垃圾筒（或斗）的翻转机构。</w:t>
      </w:r>
    </w:p>
    <w:p>
      <w:pPr>
        <w:spacing w:before="107"/>
        <w:ind w:left="380" w:right="0" w:firstLine="0"/>
        <w:jc w:val="left"/>
        <w:rPr>
          <w:rFonts w:hint="eastAsia" w:ascii="黑体" w:eastAsia="黑体"/>
          <w:sz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/>
        <w:jc w:val="left"/>
        <w:textAlignment w:val="auto"/>
        <w:rPr>
          <w:rFonts w:hint="eastAsia" w:ascii="黑体" w:eastAsia="黑体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/>
        <w:jc w:val="left"/>
        <w:textAlignment w:val="auto"/>
        <w:rPr>
          <w:rFonts w:hint="eastAsia" w:ascii="黑体" w:eastAsia="黑体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640" w:firstLineChars="200"/>
        <w:jc w:val="left"/>
        <w:textAlignment w:val="auto"/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lang w:eastAsia="zh-CN"/>
        </w:rPr>
        <w:t>五、</w:t>
      </w:r>
      <w:r>
        <w:rPr>
          <w:rFonts w:hint="eastAsia" w:ascii="黑体" w:eastAsia="黑体"/>
          <w:sz w:val="32"/>
        </w:rPr>
        <w:t>产品</w:t>
      </w:r>
      <w:r>
        <w:rPr>
          <w:rFonts w:hint="eastAsia" w:ascii="黑体" w:eastAsia="黑体"/>
          <w:sz w:val="32"/>
          <w:lang w:eastAsia="zh-CN"/>
        </w:rPr>
        <w:t>多方位图及视频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107" w:after="0" w:line="240" w:lineRule="auto"/>
        <w:ind w:right="0" w:rightChars="0"/>
        <w:jc w:val="left"/>
        <w:rPr>
          <w:rFonts w:hint="eastAsia" w:ascii="黑体" w:eastAsia="宋体"/>
          <w:sz w:val="20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107" w:after="0" w:line="240" w:lineRule="auto"/>
        <w:ind w:right="0" w:rightChars="0"/>
        <w:jc w:val="left"/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4411345</wp:posOffset>
            </wp:positionV>
            <wp:extent cx="5785485" cy="4206240"/>
            <wp:effectExtent l="0" t="0" r="5715" b="3810"/>
            <wp:wrapTopAndBottom/>
            <wp:docPr id="30" name="图片 30" descr="微信图片_20210325084937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微信图片_20210325084937_看图王"/>
                    <pic:cNvPicPr>
                      <a:picLocks noChangeAspect="1"/>
                    </pic:cNvPicPr>
                  </pic:nvPicPr>
                  <pic:blipFill>
                    <a:blip r:embed="rId19"/>
                    <a:srcRect t="3073"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534035</wp:posOffset>
            </wp:positionH>
            <wp:positionV relativeFrom="paragraph">
              <wp:posOffset>5080</wp:posOffset>
            </wp:positionV>
            <wp:extent cx="5838825" cy="4275455"/>
            <wp:effectExtent l="0" t="0" r="9525" b="10795"/>
            <wp:wrapTopAndBottom/>
            <wp:docPr id="31" name="图片 31" descr="微信图片_20210325084908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微信图片_20210325084908_看图王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4275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107" w:after="0" w:line="240" w:lineRule="auto"/>
        <w:ind w:right="0" w:rightChars="0"/>
        <w:jc w:val="left"/>
        <w:rPr>
          <w:rFonts w:hint="eastAsia" w:ascii="黑体" w:eastAsia="宋体"/>
          <w:sz w:val="20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107" w:after="0" w:line="240" w:lineRule="auto"/>
        <w:ind w:right="0" w:rightChars="0"/>
        <w:jc w:val="left"/>
        <w:rPr>
          <w:rFonts w:hint="eastAsia" w:ascii="黑体" w:eastAsia="宋体"/>
          <w:sz w:val="20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107" w:after="0" w:line="240" w:lineRule="auto"/>
        <w:ind w:right="0" w:rightChars="0"/>
        <w:jc w:val="left"/>
        <w:rPr>
          <w:rFonts w:hint="eastAsia" w:ascii="黑体" w:eastAsia="宋体"/>
          <w:sz w:val="20"/>
          <w:lang w:eastAsia="zh-CN"/>
        </w:rPr>
      </w:pP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175895</wp:posOffset>
            </wp:positionV>
            <wp:extent cx="5970270" cy="3611245"/>
            <wp:effectExtent l="0" t="0" r="11430" b="8255"/>
            <wp:wrapTopAndBottom/>
            <wp:docPr id="27" name="图片 27" descr="微信图片_2021032509244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微信图片_20210325092449_看图王"/>
                    <pic:cNvPicPr>
                      <a:picLocks noChangeAspect="1"/>
                    </pic:cNvPicPr>
                  </pic:nvPicPr>
                  <pic:blipFill>
                    <a:blip r:embed="rId21"/>
                    <a:srcRect r="3836"/>
                    <a:stretch>
                      <a:fillRect/>
                    </a:stretch>
                  </pic:blipFill>
                  <pic:spPr>
                    <a:xfrm>
                      <a:off x="0" y="0"/>
                      <a:ext cx="5970270" cy="3611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107" w:after="0" w:line="240" w:lineRule="auto"/>
        <w:ind w:right="0" w:rightChars="0"/>
        <w:jc w:val="left"/>
        <w:rPr>
          <w:rFonts w:hint="eastAsia" w:ascii="黑体" w:eastAsia="宋体"/>
          <w:sz w:val="20"/>
          <w:lang w:eastAsia="zh-CN"/>
        </w:rPr>
      </w:pPr>
    </w:p>
    <w:p>
      <w:pPr>
        <w:spacing w:after="0"/>
        <w:rPr>
          <w:rFonts w:hint="eastAsia" w:ascii="黑体" w:eastAsia="宋体"/>
          <w:sz w:val="20"/>
          <w:lang w:eastAsia="zh-CN"/>
        </w:rPr>
      </w:pP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92710</wp:posOffset>
            </wp:positionV>
            <wp:extent cx="5990590" cy="4418965"/>
            <wp:effectExtent l="0" t="0" r="10160" b="635"/>
            <wp:wrapTopAndBottom/>
            <wp:docPr id="35" name="图片 35" descr="微信图片_20210325084952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微信图片_20210325084952_看图王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90590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hint="eastAsia" w:ascii="黑体" w:eastAsia="宋体"/>
          <w:sz w:val="20"/>
          <w:lang w:eastAsia="zh-CN"/>
        </w:rPr>
      </w:pPr>
    </w:p>
    <w:p>
      <w:pPr>
        <w:spacing w:after="0"/>
        <w:rPr>
          <w:rFonts w:hint="eastAsia" w:ascii="黑体" w:eastAsia="宋体"/>
          <w:sz w:val="20"/>
          <w:lang w:eastAsia="zh-CN"/>
        </w:rPr>
      </w:pPr>
    </w:p>
    <w:p>
      <w:pPr>
        <w:spacing w:after="0"/>
        <w:rPr>
          <w:rFonts w:hint="eastAsia" w:ascii="黑体" w:eastAsia="宋体"/>
          <w:sz w:val="20"/>
          <w:lang w:eastAsia="zh-CN"/>
        </w:rPr>
      </w:pPr>
    </w:p>
    <w:p>
      <w:pPr>
        <w:spacing w:after="0"/>
        <w:rPr>
          <w:rFonts w:hint="eastAsia" w:ascii="黑体" w:eastAsia="宋体"/>
          <w:sz w:val="20"/>
          <w:lang w:eastAsia="zh-CN"/>
        </w:rPr>
      </w:pPr>
    </w:p>
    <w:p>
      <w:pPr>
        <w:spacing w:after="0"/>
        <w:rPr>
          <w:rFonts w:ascii="黑体"/>
          <w:sz w:val="20"/>
        </w:rPr>
      </w:pP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546100</wp:posOffset>
            </wp:positionH>
            <wp:positionV relativeFrom="paragraph">
              <wp:posOffset>67945</wp:posOffset>
            </wp:positionV>
            <wp:extent cx="5953760" cy="4086860"/>
            <wp:effectExtent l="0" t="0" r="8890" b="8890"/>
            <wp:wrapTopAndBottom/>
            <wp:docPr id="36" name="图片 36" descr="微信图片_20210325084843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微信图片_20210325084843_看图王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5376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eastAsia="宋体"/>
          <w:sz w:val="20"/>
          <w:lang w:eastAsia="zh-CN"/>
        </w:rPr>
      </w:pP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536575</wp:posOffset>
            </wp:positionH>
            <wp:positionV relativeFrom="paragraph">
              <wp:posOffset>180975</wp:posOffset>
            </wp:positionV>
            <wp:extent cx="6009640" cy="4399915"/>
            <wp:effectExtent l="0" t="0" r="10160" b="635"/>
            <wp:wrapTopAndBottom/>
            <wp:docPr id="37" name="图片 37" descr="微信图片_2021032508512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微信图片_20210325085121_看图王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09640" cy="439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eastAsia="宋体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eastAsia="宋体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黑体" w:eastAsia="宋体"/>
          <w:sz w:val="20"/>
          <w:lang w:eastAsia="zh-CN"/>
        </w:rPr>
      </w:pP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498475</wp:posOffset>
            </wp:positionH>
            <wp:positionV relativeFrom="paragraph">
              <wp:posOffset>4486910</wp:posOffset>
            </wp:positionV>
            <wp:extent cx="5961380" cy="4603750"/>
            <wp:effectExtent l="0" t="0" r="1270" b="6350"/>
            <wp:wrapTopAndBottom/>
            <wp:docPr id="39" name="图片 39" descr="微信图片_20210325092512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微信图片_20210325092512_看图王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61380" cy="460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eastAsia="宋体"/>
          <w:sz w:val="20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488950</wp:posOffset>
            </wp:positionH>
            <wp:positionV relativeFrom="paragraph">
              <wp:posOffset>226695</wp:posOffset>
            </wp:positionV>
            <wp:extent cx="5924550" cy="3870325"/>
            <wp:effectExtent l="0" t="0" r="0" b="15875"/>
            <wp:wrapTopAndBottom/>
            <wp:docPr id="38" name="图片 38" descr="微信图片_20210325084740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微信图片_20210325084740_看图王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387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textAlignment w:val="auto"/>
        <w:rPr>
          <w:rFonts w:hint="eastAsia" w:ascii="黑体"/>
          <w:sz w:val="20"/>
          <w:lang w:eastAsia="zh-CN"/>
        </w:rPr>
      </w:pPr>
    </w:p>
    <w:p>
      <w:pPr>
        <w:rPr>
          <w:rFonts w:hint="eastAsia" w:ascii="黑体"/>
          <w:sz w:val="20"/>
          <w:lang w:eastAsia="zh-CN"/>
        </w:rPr>
      </w:pPr>
    </w:p>
    <w:p>
      <w:pPr>
        <w:rPr>
          <w:rFonts w:hint="eastAsia" w:ascii="黑体"/>
          <w:sz w:val="20"/>
          <w:lang w:eastAsia="zh-CN"/>
        </w:rPr>
      </w:pPr>
    </w:p>
    <w:p>
      <w:pPr>
        <w:rPr>
          <w:rFonts w:hint="eastAsia" w:ascii="黑体"/>
          <w:sz w:val="20"/>
          <w:lang w:eastAsia="zh-CN"/>
        </w:rPr>
      </w:pPr>
      <w:r>
        <w:rPr>
          <w:rFonts w:hint="eastAsia" w:ascii="黑体"/>
          <w:sz w:val="20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97790</wp:posOffset>
            </wp:positionV>
            <wp:extent cx="6301105" cy="6469380"/>
            <wp:effectExtent l="0" t="0" r="4445" b="7620"/>
            <wp:wrapTopAndBottom/>
            <wp:docPr id="5" name="图片 5" descr="微信图片_2021032508461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10325084611_看图王"/>
                    <pic:cNvPicPr>
                      <a:picLocks noChangeAspect="1"/>
                    </pic:cNvPicPr>
                  </pic:nvPicPr>
                  <pic:blipFill>
                    <a:blip r:embed="rId27"/>
                    <a:srcRect b="19200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6469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黑体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/>
          <w:sz w:val="28"/>
          <w:szCs w:val="28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textAlignment w:val="auto"/>
        <w:rPr>
          <w:rFonts w:ascii="Times New Roman"/>
          <w:sz w:val="16"/>
        </w:rPr>
      </w:pPr>
    </w:p>
    <w:sectPr>
      <w:headerReference r:id="rId7" w:type="default"/>
      <w:pgSz w:w="11910" w:h="16840"/>
      <w:pgMar w:top="697" w:right="454" w:bottom="697" w:left="56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迷你简汉真广标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2888615</wp:posOffset>
              </wp:positionH>
              <wp:positionV relativeFrom="page">
                <wp:posOffset>786130</wp:posOffset>
              </wp:positionV>
              <wp:extent cx="1854200" cy="227965"/>
              <wp:effectExtent l="0" t="0" r="0" b="0"/>
              <wp:wrapNone/>
              <wp:docPr id="4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4200" cy="227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227.45pt;margin-top:61.9pt;height:17.95pt;width:146pt;mso-position-horizontal-relative:page;mso-position-vertical-relative:page;z-index:-251657216;mso-width-relative:page;mso-height-relative:page;" filled="f" stroked="f" coordsize="21600,21600" o:gfxdata="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ArEnwjZAAAACwEAAA8AAAAAAAAAAQAgAAAAIgAAAGRycy9kb3ducmV2LnhtbFBL&#10;AQIUABQAAAAIAIdO4kC5dQTWvAEAAHMDAAAOAAAAAAAAAAEAIAAAACg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-358775</wp:posOffset>
          </wp:positionH>
          <wp:positionV relativeFrom="page">
            <wp:posOffset>9525</wp:posOffset>
          </wp:positionV>
          <wp:extent cx="6186170" cy="445770"/>
          <wp:effectExtent l="0" t="0" r="5080" b="11430"/>
          <wp:wrapNone/>
          <wp:docPr id="6" name="图片 6" descr="54f9fe3cb98330d38b3d3383abe84d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54f9fe3cb98330d38b3d3383abe84d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6170" cy="445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461" w:hanging="60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7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48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49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50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51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52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3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544" w:hanging="6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36624"/>
    <w:rsid w:val="0A41205F"/>
    <w:rsid w:val="19EC39CC"/>
    <w:rsid w:val="3D906A5D"/>
    <w:rsid w:val="531D39E7"/>
    <w:rsid w:val="5B1E4CD1"/>
    <w:rsid w:val="65213F74"/>
    <w:rsid w:val="663F1908"/>
    <w:rsid w:val="6695190B"/>
    <w:rsid w:val="6D9C4290"/>
    <w:rsid w:val="77DA08D5"/>
    <w:rsid w:val="7A1D0F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left="380"/>
      <w:outlineLvl w:val="1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autoSpaceDE/>
      <w:autoSpaceDN/>
      <w:spacing w:before="0" w:beforeAutospacing="1" w:after="0" w:afterAutospacing="1" w:line="240" w:lineRule="auto"/>
      <w:ind w:left="0" w:right="0"/>
      <w:jc w:val="left"/>
    </w:pPr>
    <w:rPr>
      <w:rFonts w:ascii="Calibri" w:hAnsi="Calibri" w:cs="Times New Roman"/>
      <w:kern w:val="0"/>
      <w:sz w:val="24"/>
      <w:szCs w:val="24"/>
      <w:lang w:val="en-US" w:eastAsia="zh-CN" w:bidi="ar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"/>
      <w:ind w:left="380" w:firstLine="480"/>
    </w:pPr>
    <w:rPr>
      <w:rFonts w:ascii="宋体" w:hAnsi="宋体" w:eastAsia="宋体" w:cs="宋体"/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宣传画册11"/>
      <sectRole val="1"/>
    </customSectPr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Abu设计</Manager>
  <Company>Abu设计</Company>
  <Pages>1</Pages>
  <Words>21</Words>
  <Characters>21</Characters>
  <Lines>0</Lines>
  <Paragraphs>0</Paragraphs>
  <TotalTime>64</TotalTime>
  <ScaleCrop>false</ScaleCrop>
  <LinksUpToDate>false</LinksUpToDate>
  <CharactersWithSpaces>21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信纸</cp:category>
  <dcterms:created xsi:type="dcterms:W3CDTF">2018-02-20T15:36:00Z</dcterms:created>
  <dc:creator>Abu设计</dc:creator>
  <dc:description>更多Abu设计的信纸请访问
http://chn.docer.com/works?userid=415014680
谢谢支持</dc:description>
  <cp:keywords>信纸 信笺背景</cp:keywords>
  <cp:lastModifiedBy>湖北加贝小吴</cp:lastModifiedBy>
  <dcterms:modified xsi:type="dcterms:W3CDTF">2021-08-16T02:27:49Z</dcterms:modified>
  <dc:subject>信纸</dc:subject>
  <dc:title>信纸-Abu设计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BF724F22FB4D405F8C579DEC9B14AE1D</vt:lpwstr>
  </property>
</Properties>
</file>