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8" w:line="240" w:lineRule="auto"/>
        <w:ind w:left="2836" w:right="2410" w:rightChars="0" w:firstLine="0"/>
        <w:jc w:val="center"/>
        <w:rPr>
          <w:rFonts w:hint="default" w:ascii="Arial Unicode MS" w:eastAsia="Arial Unicode MS"/>
          <w:b/>
          <w:bCs/>
          <w:sz w:val="32"/>
          <w:szCs w:val="32"/>
          <w:lang w:val="en-US" w:eastAsia="zh-CN"/>
        </w:rPr>
      </w:pPr>
      <w:r>
        <w:rPr>
          <w:rFonts w:hint="eastAsia" w:ascii="新宋体" w:hAnsi="新宋体" w:eastAsia="新宋体" w:cs="新宋体"/>
          <w:b/>
          <w:bCs/>
          <w:sz w:val="32"/>
          <w:szCs w:val="32"/>
          <w:lang w:val="en-US" w:eastAsia="zh-CN"/>
        </w:rPr>
        <w:t>福田瑞沃三轴散装饲料运输车</w:t>
      </w:r>
    </w:p>
    <w:p>
      <w:pPr>
        <w:pStyle w:val="2"/>
        <w:rPr>
          <w:rFonts w:ascii="Arial Unicode MS"/>
          <w:sz w:val="7"/>
        </w:rPr>
      </w:pPr>
    </w:p>
    <w:p>
      <w:pPr>
        <w:spacing w:after="0"/>
        <w:rPr>
          <w:rFonts w:hint="eastAsia" w:ascii="Arial Unicode MS" w:eastAsia="宋体"/>
          <w:sz w:val="7"/>
          <w:lang w:eastAsia="zh-CN"/>
        </w:rPr>
      </w:pPr>
    </w:p>
    <w:p>
      <w:pPr>
        <w:spacing w:after="0"/>
        <w:rPr>
          <w:rFonts w:hint="eastAsia" w:ascii="Arial Unicode MS" w:eastAsia="宋体"/>
          <w:sz w:val="7"/>
          <w:vertAlign w:val="baseline"/>
          <w:lang w:eastAsia="zh-CN"/>
        </w:rPr>
      </w:pPr>
      <w:r>
        <w:rPr>
          <w:rFonts w:hint="eastAsia" w:ascii="新宋体" w:hAnsi="新宋体" w:eastAsia="新宋体" w:cs="新宋体"/>
          <w:b/>
          <w:bCs/>
          <w:sz w:val="32"/>
          <w:szCs w:val="32"/>
          <w:lang w:val="en-US" w:eastAsia="zh-CN"/>
        </w:rPr>
        <w:drawing>
          <wp:inline distT="0" distB="0" distL="114300" distR="114300">
            <wp:extent cx="6187440" cy="4373245"/>
            <wp:effectExtent l="0" t="0" r="0" b="0"/>
            <wp:docPr id="18" name="图片 18" descr="C:\Users\Administrator\Desktop\2.p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2.png2"/>
                    <pic:cNvPicPr>
                      <a:picLocks noChangeAspect="1"/>
                    </pic:cNvPicPr>
                  </pic:nvPicPr>
                  <pic:blipFill>
                    <a:blip r:embed="rId7"/>
                    <a:srcRect/>
                    <a:stretch>
                      <a:fillRect/>
                    </a:stretch>
                  </pic:blipFill>
                  <pic:spPr>
                    <a:xfrm>
                      <a:off x="0" y="0"/>
                      <a:ext cx="6187440" cy="4373245"/>
                    </a:xfrm>
                    <a:prstGeom prst="rect">
                      <a:avLst/>
                    </a:prstGeom>
                  </pic:spPr>
                </pic:pic>
              </a:graphicData>
            </a:graphic>
          </wp:inline>
        </w:drawing>
      </w:r>
    </w:p>
    <w:p>
      <w:pPr>
        <w:spacing w:after="0"/>
        <w:rPr>
          <w:rFonts w:hint="eastAsia" w:ascii="Arial Unicode MS" w:eastAsia="宋体"/>
          <w:sz w:val="7"/>
          <w:lang w:eastAsia="zh-CN"/>
        </w:rPr>
      </w:pPr>
    </w:p>
    <w:p>
      <w:pPr>
        <w:pStyle w:val="2"/>
        <w:numPr>
          <w:ilvl w:val="0"/>
          <w:numId w:val="1"/>
        </w:numPr>
        <w:spacing w:before="133"/>
        <w:ind w:left="212"/>
        <w:rPr>
          <w:rFonts w:hint="eastAsia" w:ascii="黑体" w:eastAsia="黑体"/>
        </w:rPr>
      </w:pPr>
      <w:r>
        <w:rPr>
          <w:rFonts w:hint="eastAsia" w:ascii="黑体" w:eastAsia="黑体"/>
        </w:rPr>
        <w:t>产品简述</w:t>
      </w:r>
    </w:p>
    <w:p>
      <w:pPr>
        <w:pStyle w:val="2"/>
        <w:numPr>
          <w:ilvl w:val="0"/>
          <w:numId w:val="0"/>
        </w:numPr>
        <w:spacing w:before="133"/>
        <w:ind w:right="0" w:rightChars="0"/>
        <w:rPr>
          <w:rFonts w:hint="eastAsia" w:ascii="黑体" w:eastAsia="黑体"/>
        </w:rPr>
      </w:pPr>
    </w:p>
    <w:p>
      <w:pPr>
        <w:pStyle w:val="2"/>
        <w:spacing w:line="480" w:lineRule="auto"/>
        <w:ind w:left="212" w:firstLine="810" w:firstLineChars="300"/>
        <w:rPr>
          <w:rFonts w:hint="eastAsia" w:ascii="Arial Unicode MS" w:eastAsia="宋体"/>
          <w:sz w:val="7"/>
          <w:lang w:eastAsia="zh-CN"/>
        </w:rPr>
        <w:sectPr>
          <w:headerReference r:id="rId5" w:type="default"/>
          <w:type w:val="continuous"/>
          <w:pgSz w:w="11910" w:h="16840"/>
          <w:pgMar w:top="1980" w:right="880" w:bottom="280" w:left="920" w:header="852" w:footer="720" w:gutter="0"/>
          <w:cols w:space="720" w:num="1"/>
        </w:sectPr>
      </w:pPr>
      <w:r>
        <w:rPr>
          <w:rFonts w:hint="eastAsia"/>
          <w:spacing w:val="-5"/>
          <w:sz w:val="28"/>
          <w:lang w:val="zh-CN" w:eastAsia="zh-CN"/>
        </w:rPr>
        <w:t>散装饲料车的饲料罐架设在卡车的底盘上，专用设施由罐体总成、输送系统、散装饲料车罐液压系统、散装饲料车罐电动系统、气动分仓机构等组成。在罐体底部设有闸门，在闸门下面装有水平螺旋输送器(俗称水平搅笼)，由取力器由汽车变速箱输出动力驱动，再传动高压油泵以驱动液压系统，散装饲料车罐液压马达通过传动装置带动水平螺旋输送器的叶片轴及叶片旋转，经活动输送系统(俗称活动搅笼)以将饲料输出。车顶平置的一根活动卸料绞龙可自由回转和抬升，运输时顶部的螺旋管平卧在罐顶;卸料时则抬起，散装饲料车罐使管端的出料口与畜禽饲养场贮料罐顶部的进料门相接、对准，完成卸料。</w:t>
      </w:r>
    </w:p>
    <w:p>
      <w:pPr>
        <w:pStyle w:val="2"/>
        <w:spacing w:before="61" w:after="42"/>
        <w:rPr>
          <w:rFonts w:hint="eastAsia" w:ascii="黑体" w:eastAsia="黑体"/>
          <w:lang w:eastAsia="zh-CN"/>
        </w:rPr>
      </w:pPr>
    </w:p>
    <w:p>
      <w:pPr>
        <w:pStyle w:val="2"/>
        <w:spacing w:before="61" w:after="42"/>
        <w:rPr>
          <w:rFonts w:hint="eastAsia" w:ascii="黑体" w:eastAsia="黑体"/>
        </w:rPr>
      </w:pPr>
      <w:r>
        <w:rPr>
          <w:rFonts w:hint="eastAsia" w:ascii="黑体" w:eastAsia="黑体"/>
          <w:lang w:eastAsia="zh-CN"/>
        </w:rPr>
        <w:t>二、</w:t>
      </w:r>
      <w:r>
        <w:rPr>
          <w:rFonts w:hint="eastAsia" w:ascii="黑体" w:eastAsia="黑体"/>
        </w:rPr>
        <w:t>产品配置 --- 标配</w:t>
      </w:r>
    </w:p>
    <w:p>
      <w:pPr>
        <w:spacing w:after="0" w:line="278" w:lineRule="auto"/>
        <w:jc w:val="center"/>
        <w:rPr>
          <w:sz w:val="21"/>
        </w:rPr>
      </w:pPr>
    </w:p>
    <w:tbl>
      <w:tblPr>
        <w:tblStyle w:val="5"/>
        <w:tblpPr w:leftFromText="180" w:rightFromText="180" w:vertAnchor="text" w:horzAnchor="page" w:tblpX="935" w:tblpY="327"/>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0"/>
        <w:gridCol w:w="1950"/>
        <w:gridCol w:w="2665"/>
        <w:gridCol w:w="2116"/>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restart"/>
            <w:vAlign w:val="center"/>
          </w:tcPr>
          <w:p>
            <w:pPr>
              <w:spacing w:after="0" w:line="278" w:lineRule="auto"/>
              <w:jc w:val="center"/>
              <w:rPr>
                <w:rFonts w:hint="eastAsia" w:asciiTheme="majorEastAsia" w:hAnsiTheme="majorEastAsia" w:eastAsiaTheme="majorEastAsia" w:cstheme="majorEastAsia"/>
                <w:b/>
                <w:bCs/>
                <w:sz w:val="24"/>
                <w:szCs w:val="24"/>
                <w:vertAlign w:val="baseline"/>
                <w:lang w:eastAsia="zh-CN"/>
              </w:rPr>
            </w:pPr>
            <w:r>
              <w:rPr>
                <w:rFonts w:hint="eastAsia" w:asciiTheme="majorEastAsia" w:hAnsiTheme="majorEastAsia" w:eastAsiaTheme="majorEastAsia" w:cstheme="majorEastAsia"/>
                <w:b/>
                <w:bCs/>
                <w:sz w:val="24"/>
                <w:szCs w:val="24"/>
                <w:vertAlign w:val="baseline"/>
                <w:lang w:eastAsia="zh-CN"/>
              </w:rPr>
              <w:t>底盘配置</w:t>
            </w: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底盘型号：</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asciiTheme="minorEastAsia" w:hAnsiTheme="minorEastAsia" w:eastAsiaTheme="minorEastAsia" w:cstheme="minorEastAsia"/>
                <w:b/>
                <w:bCs/>
                <w:sz w:val="21"/>
                <w:vertAlign w:val="baseline"/>
                <w:lang w:eastAsia="zh-CN"/>
              </w:rPr>
              <w:t>福田瑞沃</w:t>
            </w:r>
            <w:r>
              <w:rPr>
                <w:rFonts w:hint="eastAsia" w:asciiTheme="minorEastAsia" w:hAnsiTheme="minorEastAsia" w:eastAsiaTheme="minorEastAsia" w:cstheme="minorEastAsia"/>
                <w:b/>
                <w:bCs/>
                <w:sz w:val="21"/>
                <w:vertAlign w:val="baseline"/>
                <w:lang w:val="en-US" w:eastAsia="zh-CN"/>
              </w:rPr>
              <w:t>BJ3244DMPFB-01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rFonts w:hint="eastAsia" w:asciiTheme="majorEastAsia" w:hAnsiTheme="majorEastAsia" w:eastAsiaTheme="majorEastAsia" w:cstheme="majorEastAsia"/>
                <w:b/>
                <w:bCs/>
                <w:sz w:val="24"/>
                <w:szCs w:val="24"/>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发动机型号：</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fldChar w:fldCharType="begin"/>
            </w:r>
            <w:r>
              <w:rPr>
                <w:rFonts w:hint="eastAsia"/>
                <w:b/>
                <w:bCs/>
                <w:sz w:val="21"/>
                <w:vertAlign w:val="baseline"/>
                <w:lang w:val="en-US" w:eastAsia="zh-CN"/>
              </w:rPr>
              <w:instrText xml:space="preserve"> HYPERLINK "https://www.cn-truck.com/javascript:void(0)" </w:instrText>
            </w:r>
            <w:r>
              <w:rPr>
                <w:rFonts w:hint="eastAsia"/>
                <w:b/>
                <w:bCs/>
                <w:sz w:val="21"/>
                <w:vertAlign w:val="baseline"/>
                <w:lang w:val="en-US" w:eastAsia="zh-CN"/>
              </w:rPr>
              <w:fldChar w:fldCharType="separate"/>
            </w:r>
            <w:r>
              <w:rPr>
                <w:rFonts w:hint="default"/>
                <w:b/>
                <w:bCs/>
                <w:sz w:val="21"/>
                <w:vertAlign w:val="baseline"/>
                <w:lang w:val="en-US" w:eastAsia="zh-CN"/>
              </w:rPr>
              <w:t>WP4.6NQ220E61</w:t>
            </w:r>
            <w:r>
              <w:rPr>
                <w:rFonts w:hint="default"/>
                <w:b/>
                <w:bCs/>
                <w:sz w:val="21"/>
                <w:vertAlign w:val="baseline"/>
                <w:lang w:val="en-US" w:eastAsia="zh-CN"/>
              </w:rPr>
              <w:fldChar w:fldCharType="end"/>
            </w:r>
            <w:r>
              <w:rPr>
                <w:rFonts w:hint="eastAsia"/>
                <w:b/>
                <w:bCs/>
                <w:sz w:val="21"/>
                <w:vertAlign w:val="baseline"/>
                <w:lang w:val="en-US" w:eastAsia="zh-CN"/>
              </w:rPr>
              <w:t xml:space="preserve"> 潍柴动力股份有限公司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rFonts w:hint="eastAsia" w:asciiTheme="majorEastAsia" w:hAnsiTheme="majorEastAsia" w:eastAsiaTheme="majorEastAsia" w:cstheme="majorEastAsia"/>
                <w:b/>
                <w:bCs/>
                <w:sz w:val="24"/>
                <w:szCs w:val="24"/>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变速箱：</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法士特</w:t>
            </w:r>
            <w:r>
              <w:rPr>
                <w:rFonts w:hint="eastAsia"/>
                <w:b/>
                <w:bCs/>
                <w:sz w:val="21"/>
                <w:vertAlign w:val="baseline"/>
                <w:lang w:val="en-US" w:eastAsia="zh-CN"/>
              </w:rPr>
              <w:t>10档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rFonts w:hint="eastAsia" w:asciiTheme="majorEastAsia" w:hAnsiTheme="majorEastAsia" w:eastAsiaTheme="majorEastAsia" w:cstheme="majorEastAsia"/>
                <w:b/>
                <w:bCs/>
                <w:sz w:val="24"/>
                <w:szCs w:val="24"/>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val="en-US" w:eastAsia="zh-CN"/>
              </w:rPr>
            </w:pPr>
            <w:r>
              <w:rPr>
                <w:rFonts w:hint="eastAsia" w:asciiTheme="minorEastAsia" w:hAnsiTheme="minorEastAsia" w:eastAsiaTheme="minorEastAsia" w:cstheme="minorEastAsia"/>
                <w:b/>
                <w:bCs/>
                <w:sz w:val="21"/>
                <w:vertAlign w:val="baseline"/>
                <w:lang w:eastAsia="zh-CN"/>
              </w:rPr>
              <w:t>额定功率（</w:t>
            </w:r>
            <w:r>
              <w:rPr>
                <w:rFonts w:hint="eastAsia" w:asciiTheme="minorEastAsia" w:hAnsiTheme="minorEastAsia" w:eastAsiaTheme="minorEastAsia" w:cstheme="minorEastAsia"/>
                <w:b/>
                <w:bCs/>
                <w:sz w:val="21"/>
                <w:vertAlign w:val="baseline"/>
                <w:lang w:val="en-US" w:eastAsia="zh-CN"/>
              </w:rPr>
              <w:t>KW）：</w:t>
            </w:r>
          </w:p>
        </w:tc>
        <w:tc>
          <w:tcPr>
            <w:tcW w:w="1290" w:type="pct"/>
            <w:vAlign w:val="center"/>
          </w:tcPr>
          <w:p>
            <w:pPr>
              <w:spacing w:after="0" w:line="278" w:lineRule="auto"/>
              <w:jc w:val="center"/>
              <w:rPr>
                <w:b/>
                <w:bCs/>
                <w:sz w:val="21"/>
                <w:vertAlign w:val="baseline"/>
              </w:rPr>
            </w:pPr>
            <w:r>
              <w:rPr>
                <w:rFonts w:hint="eastAsia"/>
                <w:b/>
                <w:bCs/>
                <w:sz w:val="21"/>
                <w:vertAlign w:val="baseline"/>
                <w:lang w:val="en-US" w:eastAsia="zh-CN"/>
              </w:rPr>
              <w:t>176（220马力）</w:t>
            </w:r>
          </w:p>
        </w:tc>
        <w:tc>
          <w:tcPr>
            <w:tcW w:w="1024" w:type="pct"/>
            <w:vAlign w:val="center"/>
          </w:tcPr>
          <w:p>
            <w:pPr>
              <w:spacing w:after="0" w:line="278" w:lineRule="auto"/>
              <w:jc w:val="left"/>
              <w:rPr>
                <w:rFonts w:hint="eastAsia" w:eastAsia="宋体"/>
                <w:b/>
                <w:bCs/>
                <w:sz w:val="21"/>
                <w:vertAlign w:val="baseline"/>
                <w:lang w:eastAsia="zh-CN"/>
              </w:rPr>
            </w:pPr>
            <w:r>
              <w:rPr>
                <w:rFonts w:hint="eastAsia"/>
                <w:b/>
                <w:bCs/>
                <w:sz w:val="21"/>
                <w:vertAlign w:val="baseline"/>
                <w:lang w:eastAsia="zh-CN"/>
              </w:rPr>
              <w:t>轮胎规格：</w:t>
            </w:r>
          </w:p>
        </w:tc>
        <w:tc>
          <w:tcPr>
            <w:tcW w:w="1169"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t>10.00R20钢丝胎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rFonts w:hint="eastAsia" w:asciiTheme="majorEastAsia" w:hAnsiTheme="majorEastAsia" w:eastAsiaTheme="majorEastAsia" w:cstheme="majorEastAsia"/>
                <w:b/>
                <w:bCs/>
                <w:sz w:val="24"/>
                <w:szCs w:val="24"/>
                <w:vertAlign w:val="baseline"/>
              </w:rPr>
            </w:pPr>
          </w:p>
        </w:tc>
        <w:tc>
          <w:tcPr>
            <w:tcW w:w="944" w:type="pct"/>
            <w:vAlign w:val="center"/>
          </w:tcPr>
          <w:p>
            <w:pPr>
              <w:spacing w:after="0" w:line="278" w:lineRule="auto"/>
              <w:jc w:val="left"/>
              <w:rPr>
                <w:rFonts w:hint="default" w:asciiTheme="minorEastAsia" w:hAnsiTheme="minorEastAsia" w:eastAsiaTheme="minorEastAsia" w:cstheme="minorEastAsia"/>
                <w:b/>
                <w:bCs/>
                <w:sz w:val="21"/>
                <w:vertAlign w:val="baseline"/>
                <w:lang w:val="en-US" w:eastAsia="zh-CN"/>
              </w:rPr>
            </w:pPr>
            <w:r>
              <w:rPr>
                <w:rFonts w:hint="eastAsia" w:asciiTheme="minorEastAsia" w:hAnsiTheme="minorEastAsia" w:eastAsiaTheme="minorEastAsia" w:cstheme="minorEastAsia"/>
                <w:b/>
                <w:bCs/>
                <w:sz w:val="21"/>
                <w:vertAlign w:val="baseline"/>
                <w:lang w:eastAsia="zh-CN"/>
              </w:rPr>
              <w:t>发动机排量（</w:t>
            </w:r>
            <w:r>
              <w:rPr>
                <w:rFonts w:hint="eastAsia" w:asciiTheme="minorEastAsia" w:hAnsiTheme="minorEastAsia" w:eastAsiaTheme="minorEastAsia" w:cstheme="minorEastAsia"/>
                <w:b/>
                <w:bCs/>
                <w:sz w:val="21"/>
                <w:vertAlign w:val="baseline"/>
                <w:lang w:val="en-US" w:eastAsia="zh-CN"/>
              </w:rPr>
              <w:t>ML):</w:t>
            </w:r>
          </w:p>
        </w:tc>
        <w:tc>
          <w:tcPr>
            <w:tcW w:w="1290"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t>5132</w:t>
            </w:r>
          </w:p>
        </w:tc>
        <w:tc>
          <w:tcPr>
            <w:tcW w:w="1024" w:type="pct"/>
            <w:vAlign w:val="center"/>
          </w:tcPr>
          <w:p>
            <w:pPr>
              <w:spacing w:after="0" w:line="278" w:lineRule="auto"/>
              <w:jc w:val="left"/>
              <w:rPr>
                <w:rFonts w:hint="default" w:eastAsia="宋体"/>
                <w:b/>
                <w:bCs/>
                <w:sz w:val="21"/>
                <w:vertAlign w:val="baseline"/>
                <w:lang w:val="en-US" w:eastAsia="zh-CN"/>
              </w:rPr>
            </w:pPr>
            <w:r>
              <w:rPr>
                <w:rFonts w:hint="eastAsia"/>
                <w:b/>
                <w:bCs/>
                <w:sz w:val="21"/>
                <w:vertAlign w:val="baseline"/>
                <w:lang w:eastAsia="zh-CN"/>
              </w:rPr>
              <w:t>轴距（</w:t>
            </w:r>
            <w:r>
              <w:rPr>
                <w:rFonts w:hint="eastAsia"/>
                <w:b/>
                <w:bCs/>
                <w:sz w:val="21"/>
                <w:vertAlign w:val="baseline"/>
                <w:lang w:val="en-US" w:eastAsia="zh-CN"/>
              </w:rPr>
              <w:t>mm)：</w:t>
            </w:r>
          </w:p>
        </w:tc>
        <w:tc>
          <w:tcPr>
            <w:tcW w:w="1169"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t>1800+3000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rFonts w:hint="eastAsia" w:asciiTheme="majorEastAsia" w:hAnsiTheme="majorEastAsia" w:eastAsiaTheme="majorEastAsia" w:cstheme="majorEastAsia"/>
                <w:b/>
                <w:bCs/>
                <w:sz w:val="24"/>
                <w:szCs w:val="24"/>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val="en-US" w:eastAsia="zh-CN"/>
              </w:rPr>
            </w:pPr>
            <w:r>
              <w:rPr>
                <w:rFonts w:hint="eastAsia" w:asciiTheme="minorEastAsia" w:hAnsiTheme="minorEastAsia" w:eastAsiaTheme="minorEastAsia" w:cstheme="minorEastAsia"/>
                <w:b/>
                <w:bCs/>
                <w:sz w:val="21"/>
                <w:vertAlign w:val="baseline"/>
                <w:lang w:val="en-US" w:eastAsia="zh-CN"/>
              </w:rPr>
              <w:t>ABS型号/厂家：</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t>CM4XL-4S/4M广州瑞立科密汽车电子股份有限公司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restart"/>
            <w:vAlign w:val="center"/>
          </w:tcPr>
          <w:p>
            <w:pPr>
              <w:spacing w:after="0" w:line="278" w:lineRule="auto"/>
              <w:jc w:val="center"/>
              <w:rPr>
                <w:rFonts w:hint="eastAsia" w:asciiTheme="majorEastAsia" w:hAnsiTheme="majorEastAsia" w:eastAsiaTheme="majorEastAsia" w:cstheme="majorEastAsia"/>
                <w:b/>
                <w:bCs/>
                <w:sz w:val="24"/>
                <w:szCs w:val="24"/>
                <w:vertAlign w:val="baseline"/>
                <w:lang w:eastAsia="zh-CN"/>
              </w:rPr>
            </w:pPr>
            <w:r>
              <w:rPr>
                <w:rFonts w:hint="eastAsia" w:asciiTheme="majorEastAsia" w:hAnsiTheme="majorEastAsia" w:eastAsiaTheme="majorEastAsia" w:cstheme="majorEastAsia"/>
                <w:b/>
                <w:bCs/>
                <w:sz w:val="24"/>
                <w:szCs w:val="24"/>
                <w:vertAlign w:val="baseline"/>
                <w:lang w:eastAsia="zh-CN"/>
              </w:rPr>
              <w:t>上装配置</w:t>
            </w: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val="en-US" w:eastAsia="zh-CN"/>
              </w:rPr>
            </w:pPr>
            <w:r>
              <w:rPr>
                <w:rFonts w:hint="eastAsia" w:asciiTheme="minorEastAsia" w:hAnsiTheme="minorEastAsia" w:eastAsiaTheme="minorEastAsia" w:cstheme="minorEastAsia"/>
                <w:b/>
                <w:bCs/>
                <w:sz w:val="21"/>
                <w:vertAlign w:val="baseline"/>
                <w:lang w:eastAsia="zh-CN"/>
              </w:rPr>
              <w:t>实际容积（</w:t>
            </w:r>
            <w:r>
              <w:rPr>
                <w:rFonts w:hint="eastAsia" w:asciiTheme="minorEastAsia" w:hAnsiTheme="minorEastAsia" w:eastAsiaTheme="minorEastAsia" w:cstheme="minorEastAsia"/>
                <w:b/>
                <w:bCs/>
                <w:sz w:val="21"/>
                <w:vertAlign w:val="baseline"/>
                <w:lang w:val="en-US" w:eastAsia="zh-CN"/>
              </w:rPr>
              <w:t>m3）：</w:t>
            </w:r>
          </w:p>
        </w:tc>
        <w:tc>
          <w:tcPr>
            <w:tcW w:w="1290"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t>28-30</w:t>
            </w:r>
          </w:p>
        </w:tc>
        <w:tc>
          <w:tcPr>
            <w:tcW w:w="1024" w:type="pct"/>
            <w:vAlign w:val="center"/>
          </w:tcPr>
          <w:p>
            <w:pPr>
              <w:spacing w:after="0" w:line="278" w:lineRule="auto"/>
              <w:jc w:val="left"/>
              <w:rPr>
                <w:rFonts w:hint="eastAsia" w:eastAsia="宋体"/>
                <w:b/>
                <w:bCs/>
                <w:sz w:val="21"/>
                <w:vertAlign w:val="baseline"/>
                <w:lang w:eastAsia="zh-CN"/>
              </w:rPr>
            </w:pPr>
            <w:r>
              <w:rPr>
                <w:rFonts w:hint="eastAsia"/>
                <w:b/>
                <w:bCs/>
                <w:sz w:val="21"/>
                <w:vertAlign w:val="baseline"/>
                <w:lang w:eastAsia="zh-CN"/>
              </w:rPr>
              <w:t>料仓数量：</w:t>
            </w:r>
          </w:p>
        </w:tc>
        <w:tc>
          <w:tcPr>
            <w:tcW w:w="1169" w:type="pct"/>
            <w:vAlign w:val="center"/>
          </w:tcPr>
          <w:p>
            <w:pPr>
              <w:spacing w:after="0" w:line="278" w:lineRule="auto"/>
              <w:jc w:val="center"/>
              <w:rPr>
                <w:rFonts w:hint="eastAsia" w:eastAsia="宋体"/>
                <w:b/>
                <w:bCs/>
                <w:sz w:val="21"/>
                <w:vertAlign w:val="baseline"/>
                <w:lang w:val="en-US" w:eastAsia="zh-CN"/>
              </w:rPr>
            </w:pPr>
            <w:r>
              <w:rPr>
                <w:rFonts w:hint="eastAsia"/>
                <w:b/>
                <w:bCs/>
                <w:sz w:val="21"/>
                <w:vertAlign w:val="baseline"/>
                <w:lang w:val="en-US" w:eastAsia="zh-CN"/>
              </w:rPr>
              <w:t>4仓（可定制）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rFonts w:hint="eastAsia"/>
                <w:b/>
                <w:bCs/>
                <w:sz w:val="24"/>
                <w:szCs w:val="24"/>
                <w:vertAlign w:val="baseline"/>
                <w:lang w:eastAsia="zh-CN"/>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输送高度：</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大于</w:t>
            </w:r>
            <w:r>
              <w:rPr>
                <w:rFonts w:hint="eastAsia"/>
                <w:b/>
                <w:bCs/>
                <w:sz w:val="21"/>
                <w:vertAlign w:val="baseline"/>
                <w:lang w:val="en-US" w:eastAsia="zh-CN"/>
              </w:rPr>
              <w:t>8米（可定制）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571" w:type="pct"/>
            <w:vMerge w:val="continue"/>
            <w:vAlign w:val="center"/>
          </w:tcPr>
          <w:p>
            <w:pPr>
              <w:spacing w:after="0" w:line="278" w:lineRule="auto"/>
              <w:jc w:val="center"/>
              <w:rPr>
                <w:sz w:val="21"/>
                <w:vertAlign w:val="baseline"/>
              </w:rPr>
            </w:pPr>
          </w:p>
        </w:tc>
        <w:tc>
          <w:tcPr>
            <w:tcW w:w="944" w:type="pct"/>
            <w:vMerge w:val="restart"/>
            <w:vAlign w:val="center"/>
          </w:tcPr>
          <w:p>
            <w:pPr>
              <w:spacing w:after="0" w:line="278" w:lineRule="auto"/>
              <w:jc w:val="left"/>
              <w:rPr>
                <w:rFonts w:hint="default" w:asciiTheme="minorEastAsia" w:hAnsiTheme="minorEastAsia" w:eastAsiaTheme="minorEastAsia" w:cstheme="minorEastAsia"/>
                <w:b/>
                <w:bCs/>
                <w:sz w:val="21"/>
                <w:vertAlign w:val="baseline"/>
                <w:lang w:val="en-US" w:eastAsia="zh-CN"/>
              </w:rPr>
            </w:pPr>
            <w:r>
              <w:rPr>
                <w:rFonts w:hint="eastAsia" w:asciiTheme="minorEastAsia" w:hAnsiTheme="minorEastAsia" w:eastAsiaTheme="minorEastAsia" w:cstheme="minorEastAsia"/>
                <w:b/>
                <w:bCs/>
                <w:sz w:val="21"/>
                <w:vertAlign w:val="baseline"/>
                <w:lang w:eastAsia="zh-CN"/>
              </w:rPr>
              <w:t>卸料速度</w:t>
            </w:r>
            <w:r>
              <w:rPr>
                <w:rFonts w:hint="eastAsia" w:asciiTheme="minorEastAsia" w:hAnsiTheme="minorEastAsia" w:eastAsiaTheme="minorEastAsia" w:cstheme="minorEastAsia"/>
                <w:b/>
                <w:bCs/>
                <w:sz w:val="21"/>
                <w:vertAlign w:val="baseline"/>
                <w:lang w:val="en-US" w:eastAsia="zh-CN"/>
              </w:rPr>
              <w:t>(kg/min):</w:t>
            </w:r>
          </w:p>
        </w:tc>
        <w:tc>
          <w:tcPr>
            <w:tcW w:w="1290"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液压</w:t>
            </w:r>
            <w:r>
              <w:rPr>
                <w:rFonts w:hint="eastAsia"/>
                <w:b/>
                <w:bCs/>
                <w:sz w:val="21"/>
                <w:vertAlign w:val="baseline"/>
                <w:lang w:val="en-US" w:eastAsia="zh-CN"/>
              </w:rPr>
              <w:t>1000</w:t>
            </w:r>
          </w:p>
        </w:tc>
        <w:tc>
          <w:tcPr>
            <w:tcW w:w="1024" w:type="pct"/>
            <w:vMerge w:val="restart"/>
            <w:vAlign w:val="center"/>
          </w:tcPr>
          <w:p>
            <w:pPr>
              <w:spacing w:after="0" w:line="278" w:lineRule="auto"/>
              <w:jc w:val="left"/>
              <w:rPr>
                <w:rFonts w:hint="default" w:eastAsia="宋体"/>
                <w:b/>
                <w:bCs/>
                <w:sz w:val="21"/>
                <w:vertAlign w:val="baseline"/>
                <w:lang w:val="en-US" w:eastAsia="zh-CN"/>
              </w:rPr>
            </w:pPr>
            <w:r>
              <w:rPr>
                <w:rFonts w:hint="eastAsia"/>
                <w:b/>
                <w:bCs/>
                <w:sz w:val="21"/>
                <w:vertAlign w:val="baseline"/>
                <w:lang w:eastAsia="zh-CN"/>
              </w:rPr>
              <w:t>残留率（</w:t>
            </w:r>
            <w:r>
              <w:rPr>
                <w:rFonts w:hint="eastAsia"/>
                <w:b/>
                <w:bCs/>
                <w:sz w:val="21"/>
                <w:vertAlign w:val="baseline"/>
                <w:lang w:val="en-US" w:eastAsia="zh-CN"/>
              </w:rPr>
              <w:t>%）：</w:t>
            </w:r>
          </w:p>
        </w:tc>
        <w:tc>
          <w:tcPr>
            <w:tcW w:w="1169" w:type="pct"/>
            <w:vMerge w:val="restar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小于</w:t>
            </w:r>
            <w:r>
              <w:rPr>
                <w:rFonts w:hint="eastAsia"/>
                <w:b/>
                <w:bCs/>
                <w:sz w:val="21"/>
                <w:vertAlign w:val="baseline"/>
                <w:lang w:val="en-US" w:eastAsia="zh-CN"/>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vMerge w:val="continue"/>
            <w:vAlign w:val="center"/>
          </w:tcPr>
          <w:p>
            <w:pPr>
              <w:spacing w:after="0" w:line="278" w:lineRule="auto"/>
              <w:jc w:val="center"/>
              <w:rPr>
                <w:sz w:val="21"/>
                <w:vertAlign w:val="baseline"/>
              </w:rPr>
            </w:pPr>
          </w:p>
        </w:tc>
        <w:tc>
          <w:tcPr>
            <w:tcW w:w="944" w:type="pct"/>
            <w:vMerge w:val="continue"/>
            <w:vAlign w:val="center"/>
          </w:tcPr>
          <w:p>
            <w:pPr>
              <w:spacing w:after="0" w:line="278" w:lineRule="auto"/>
              <w:jc w:val="left"/>
              <w:rPr>
                <w:rFonts w:hint="eastAsia" w:asciiTheme="minorEastAsia" w:hAnsiTheme="minorEastAsia" w:eastAsiaTheme="minorEastAsia" w:cstheme="minorEastAsia"/>
                <w:b/>
                <w:bCs/>
                <w:sz w:val="21"/>
                <w:vertAlign w:val="baseline"/>
                <w:lang w:val="en-US" w:eastAsia="zh-CN"/>
              </w:rPr>
            </w:pPr>
          </w:p>
        </w:tc>
        <w:tc>
          <w:tcPr>
            <w:tcW w:w="1290"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电动</w:t>
            </w:r>
            <w:r>
              <w:rPr>
                <w:rFonts w:hint="eastAsia"/>
                <w:b/>
                <w:bCs/>
                <w:sz w:val="21"/>
                <w:vertAlign w:val="baseline"/>
                <w:lang w:val="en-US" w:eastAsia="zh-CN"/>
              </w:rPr>
              <w:t>700</w:t>
            </w:r>
          </w:p>
        </w:tc>
        <w:tc>
          <w:tcPr>
            <w:tcW w:w="1024" w:type="pct"/>
            <w:vMerge w:val="continue"/>
            <w:vAlign w:val="center"/>
          </w:tcPr>
          <w:p>
            <w:pPr>
              <w:spacing w:after="0" w:line="278" w:lineRule="auto"/>
              <w:jc w:val="left"/>
              <w:rPr>
                <w:b/>
                <w:bCs/>
                <w:sz w:val="21"/>
                <w:vertAlign w:val="baseline"/>
              </w:rPr>
            </w:pPr>
          </w:p>
        </w:tc>
        <w:tc>
          <w:tcPr>
            <w:tcW w:w="1169" w:type="pct"/>
            <w:vMerge w:val="continue"/>
            <w:vAlign w:val="center"/>
          </w:tcPr>
          <w:p>
            <w:pPr>
              <w:spacing w:after="0" w:line="278" w:lineRule="auto"/>
              <w:jc w:val="center"/>
              <w:rPr>
                <w:b/>
                <w:bCs/>
                <w:sz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sz w:val="21"/>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卸料绞龙长度：</w:t>
            </w:r>
          </w:p>
        </w:tc>
        <w:tc>
          <w:tcPr>
            <w:tcW w:w="1290"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t>7.8米（可定制）</w:t>
            </w:r>
          </w:p>
        </w:tc>
        <w:tc>
          <w:tcPr>
            <w:tcW w:w="1024" w:type="pct"/>
            <w:vAlign w:val="center"/>
          </w:tcPr>
          <w:p>
            <w:pPr>
              <w:spacing w:after="0" w:line="278" w:lineRule="auto"/>
              <w:jc w:val="left"/>
              <w:rPr>
                <w:rFonts w:hint="eastAsia" w:eastAsia="宋体"/>
                <w:b/>
                <w:bCs/>
                <w:sz w:val="21"/>
                <w:vertAlign w:val="baseline"/>
                <w:lang w:eastAsia="zh-CN"/>
              </w:rPr>
            </w:pPr>
            <w:r>
              <w:rPr>
                <w:rFonts w:hint="eastAsia"/>
                <w:b/>
                <w:bCs/>
                <w:sz w:val="21"/>
                <w:vertAlign w:val="baseline"/>
                <w:lang w:eastAsia="zh-CN"/>
              </w:rPr>
              <w:t>卸料绞龙回转度：</w:t>
            </w:r>
          </w:p>
        </w:tc>
        <w:tc>
          <w:tcPr>
            <w:tcW w:w="1169" w:type="pct"/>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正负</w:t>
            </w:r>
            <w:r>
              <w:rPr>
                <w:rFonts w:hint="eastAsia"/>
                <w:b/>
                <w:bCs/>
                <w:sz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sz w:val="21"/>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液压驱动形式：</w:t>
            </w:r>
          </w:p>
        </w:tc>
        <w:tc>
          <w:tcPr>
            <w:tcW w:w="1290" w:type="pct"/>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液压泵：美国丹尼逊</w:t>
            </w:r>
          </w:p>
        </w:tc>
        <w:tc>
          <w:tcPr>
            <w:tcW w:w="1024" w:type="pct"/>
            <w:vAlign w:val="center"/>
          </w:tcPr>
          <w:p>
            <w:pPr>
              <w:spacing w:after="0" w:line="278" w:lineRule="auto"/>
              <w:jc w:val="left"/>
              <w:rPr>
                <w:rFonts w:hint="eastAsia" w:eastAsia="宋体"/>
                <w:b/>
                <w:bCs/>
                <w:sz w:val="21"/>
                <w:vertAlign w:val="baseline"/>
                <w:lang w:eastAsia="zh-CN"/>
              </w:rPr>
            </w:pPr>
            <w:r>
              <w:rPr>
                <w:rFonts w:hint="eastAsia"/>
                <w:b/>
                <w:bCs/>
                <w:sz w:val="21"/>
                <w:vertAlign w:val="baseline"/>
                <w:lang w:eastAsia="zh-CN"/>
              </w:rPr>
              <w:t>液压马达：美国伊顿</w:t>
            </w:r>
          </w:p>
        </w:tc>
        <w:tc>
          <w:tcPr>
            <w:tcW w:w="1169" w:type="pct"/>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液压阀：台湾油力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sz w:val="21"/>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电动驱动形式：</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西门子电动机</w:t>
            </w:r>
            <w:r>
              <w:rPr>
                <w:rFonts w:hint="eastAsia"/>
                <w:b/>
                <w:bCs/>
                <w:sz w:val="21"/>
                <w:vertAlign w:val="baseline"/>
                <w:lang w:val="en-US" w:eastAsia="zh-CN"/>
              </w:rPr>
              <w:t>,欠相,欠压,防反转等电控联锁保护,配置遥控。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sz w:val="21"/>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箱体工艺：</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罐体采用正宗国标</w:t>
            </w:r>
            <w:r>
              <w:rPr>
                <w:rFonts w:hint="eastAsia"/>
                <w:b/>
                <w:bCs/>
                <w:sz w:val="21"/>
                <w:vertAlign w:val="baseline"/>
                <w:lang w:val="en-US" w:eastAsia="zh-CN"/>
              </w:rPr>
              <w:t>3.5mm武刚板材,一次成型,焊接采用气体保护焊,满焊。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sz w:val="21"/>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绞龙工艺：</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绞龙采用锰钢</w:t>
            </w:r>
            <w:r>
              <w:rPr>
                <w:rFonts w:hint="eastAsia"/>
                <w:b/>
                <w:bCs/>
                <w:sz w:val="21"/>
                <w:vertAlign w:val="baseline"/>
                <w:lang w:val="en-US" w:eastAsia="zh-CN"/>
              </w:rPr>
              <w:t>,韧性强,中间衔接支撑结构,石墨轴承,免维护。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1" w:type="pct"/>
            <w:vMerge w:val="continue"/>
            <w:vAlign w:val="center"/>
          </w:tcPr>
          <w:p>
            <w:pPr>
              <w:spacing w:after="0" w:line="278" w:lineRule="auto"/>
              <w:jc w:val="center"/>
              <w:rPr>
                <w:sz w:val="21"/>
                <w:vertAlign w:val="baseline"/>
              </w:rPr>
            </w:pPr>
          </w:p>
        </w:tc>
        <w:tc>
          <w:tcPr>
            <w:tcW w:w="944" w:type="pct"/>
            <w:vAlign w:val="center"/>
          </w:tcPr>
          <w:p>
            <w:pPr>
              <w:spacing w:after="0" w:line="278" w:lineRule="auto"/>
              <w:jc w:val="left"/>
              <w:rPr>
                <w:rFonts w:hint="eastAsia" w:asciiTheme="minorEastAsia" w:hAnsiTheme="minorEastAsia" w:eastAsiaTheme="minorEastAsia" w:cstheme="minorEastAsia"/>
                <w:b/>
                <w:bCs/>
                <w:sz w:val="21"/>
                <w:vertAlign w:val="baseline"/>
                <w:lang w:eastAsia="zh-CN"/>
              </w:rPr>
            </w:pPr>
            <w:r>
              <w:rPr>
                <w:rFonts w:hint="eastAsia" w:asciiTheme="minorEastAsia" w:hAnsiTheme="minorEastAsia" w:eastAsiaTheme="minorEastAsia" w:cstheme="minorEastAsia"/>
                <w:b/>
                <w:bCs/>
                <w:sz w:val="21"/>
                <w:vertAlign w:val="baseline"/>
                <w:lang w:eastAsia="zh-CN"/>
              </w:rPr>
              <w:t>油漆工艺：</w:t>
            </w:r>
          </w:p>
        </w:tc>
        <w:tc>
          <w:tcPr>
            <w:tcW w:w="3483" w:type="pct"/>
            <w:gridSpan w:val="3"/>
            <w:vAlign w:val="center"/>
          </w:tcPr>
          <w:p>
            <w:pPr>
              <w:spacing w:after="0" w:line="278" w:lineRule="auto"/>
              <w:jc w:val="center"/>
              <w:rPr>
                <w:rFonts w:hint="default" w:eastAsia="宋体"/>
                <w:b/>
                <w:bCs/>
                <w:sz w:val="21"/>
                <w:vertAlign w:val="baseline"/>
                <w:lang w:val="en-US" w:eastAsia="zh-CN"/>
              </w:rPr>
            </w:pPr>
            <w:r>
              <w:rPr>
                <w:rFonts w:hint="eastAsia"/>
                <w:b/>
                <w:bCs/>
                <w:sz w:val="21"/>
                <w:szCs w:val="21"/>
                <w:vertAlign w:val="baseline"/>
                <w:lang w:eastAsia="zh-CN"/>
              </w:rPr>
              <w:t>用进口</w:t>
            </w:r>
            <w:r>
              <w:rPr>
                <w:rFonts w:hint="eastAsia"/>
                <w:b/>
                <w:bCs/>
                <w:sz w:val="21"/>
                <w:szCs w:val="21"/>
                <w:vertAlign w:val="baseline"/>
                <w:lang w:val="en-US" w:eastAsia="zh-CN"/>
              </w:rPr>
              <w:t>JOTUN(佐敦)抗腐蚀油漆,一道喷砂、二道打磨、三道油漆、四道保护清漆</w:t>
            </w:r>
          </w:p>
        </w:tc>
      </w:tr>
    </w:tbl>
    <w:p>
      <w:pPr>
        <w:spacing w:after="0" w:line="278" w:lineRule="auto"/>
        <w:jc w:val="center"/>
        <w:rPr>
          <w:sz w:val="21"/>
        </w:rPr>
        <w:sectPr>
          <w:pgSz w:w="11910" w:h="16840"/>
          <w:pgMar w:top="1980" w:right="880" w:bottom="280" w:left="920" w:header="852" w:footer="0" w:gutter="0"/>
          <w:cols w:space="720" w:num="1"/>
        </w:sectPr>
      </w:pPr>
    </w:p>
    <w:p>
      <w:pPr>
        <w:rPr>
          <w:rFonts w:hint="eastAsia" w:ascii="黑体" w:hAnsi="宋体" w:eastAsia="黑体" w:cs="宋体"/>
          <w:sz w:val="28"/>
          <w:szCs w:val="28"/>
          <w:lang w:val="zh-CN" w:eastAsia="zh-CN" w:bidi="zh-CN"/>
        </w:rPr>
      </w:pPr>
    </w:p>
    <w:p>
      <w:pPr>
        <w:numPr>
          <w:ilvl w:val="0"/>
          <w:numId w:val="0"/>
        </w:numPr>
        <w:ind w:right="0" w:rightChars="0"/>
        <w:rPr>
          <w:rFonts w:hint="eastAsia" w:ascii="黑体" w:hAnsi="宋体" w:eastAsia="黑体" w:cs="宋体"/>
          <w:sz w:val="28"/>
          <w:szCs w:val="28"/>
          <w:lang w:val="zh-CN" w:eastAsia="zh-CN" w:bidi="zh-CN"/>
        </w:rPr>
      </w:pPr>
      <w:r>
        <w:rPr>
          <w:rFonts w:hint="eastAsia" w:ascii="黑体" w:eastAsia="黑体" w:cs="宋体"/>
          <w:sz w:val="28"/>
          <w:szCs w:val="28"/>
          <w:lang w:val="zh-CN" w:eastAsia="zh-CN" w:bidi="zh-CN"/>
        </w:rPr>
        <w:t>三、</w:t>
      </w:r>
      <w:r>
        <w:rPr>
          <w:rFonts w:hint="eastAsia" w:ascii="黑体" w:hAnsi="宋体" w:eastAsia="黑体" w:cs="宋体"/>
          <w:sz w:val="28"/>
          <w:szCs w:val="28"/>
          <w:lang w:val="zh-CN" w:eastAsia="zh-CN" w:bidi="zh-CN"/>
        </w:rPr>
        <w:t>多方位图展示</w:t>
      </w:r>
    </w:p>
    <w:p>
      <w:pPr>
        <w:numPr>
          <w:ilvl w:val="0"/>
          <w:numId w:val="0"/>
        </w:numPr>
        <w:rPr>
          <w:rFonts w:hint="eastAsia" w:ascii="黑体" w:hAnsi="宋体" w:eastAsia="黑体" w:cs="宋体"/>
          <w:sz w:val="28"/>
          <w:szCs w:val="28"/>
          <w:lang w:val="zh-CN" w:eastAsia="zh-CN" w:bidi="zh-CN"/>
        </w:rPr>
        <w:sectPr>
          <w:pgSz w:w="11910" w:h="16840"/>
          <w:pgMar w:top="1980" w:right="880" w:bottom="280" w:left="920" w:header="852" w:footer="0" w:gutter="0"/>
          <w:cols w:space="720" w:num="1"/>
        </w:sectPr>
      </w:pPr>
      <w:r>
        <w:rPr>
          <w:rFonts w:hint="eastAsia" w:ascii="黑体" w:hAnsi="宋体" w:eastAsia="黑体" w:cs="宋体"/>
          <w:sz w:val="28"/>
          <w:szCs w:val="28"/>
          <w:lang w:val="zh-CN" w:eastAsia="zh-CN" w:bidi="zh-CN"/>
        </w:rPr>
        <w:drawing>
          <wp:inline distT="0" distB="0" distL="114300" distR="114300">
            <wp:extent cx="6188075" cy="4124960"/>
            <wp:effectExtent l="0" t="0" r="3175" b="8890"/>
            <wp:docPr id="2" name="图片 2" descr="C:\Users\Administrator\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2.jpg2"/>
                    <pic:cNvPicPr>
                      <a:picLocks noChangeAspect="1"/>
                    </pic:cNvPicPr>
                  </pic:nvPicPr>
                  <pic:blipFill>
                    <a:blip r:embed="rId8"/>
                    <a:srcRect/>
                    <a:stretch>
                      <a:fillRect/>
                    </a:stretch>
                  </pic:blipFill>
                  <pic:spPr>
                    <a:xfrm>
                      <a:off x="0" y="0"/>
                      <a:ext cx="6188075" cy="412496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202680" cy="4135120"/>
            <wp:effectExtent l="0" t="0" r="7620" b="17780"/>
            <wp:docPr id="3" name="图片 3"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3.jpg3"/>
                    <pic:cNvPicPr>
                      <a:picLocks noChangeAspect="1"/>
                    </pic:cNvPicPr>
                  </pic:nvPicPr>
                  <pic:blipFill>
                    <a:blip r:embed="rId9"/>
                    <a:srcRect/>
                    <a:stretch>
                      <a:fillRect/>
                    </a:stretch>
                  </pic:blipFill>
                  <pic:spPr>
                    <a:xfrm>
                      <a:off x="0" y="0"/>
                      <a:ext cx="6202680" cy="4135120"/>
                    </a:xfrm>
                    <a:prstGeom prst="rect">
                      <a:avLst/>
                    </a:prstGeom>
                  </pic:spPr>
                </pic:pic>
              </a:graphicData>
            </a:graphic>
          </wp:inline>
        </w:drawing>
      </w:r>
    </w:p>
    <w:p>
      <w:pPr>
        <w:numPr>
          <w:ilvl w:val="0"/>
          <w:numId w:val="0"/>
        </w:numPr>
        <w:rPr>
          <w:rFonts w:hint="eastAsia" w:ascii="黑体" w:hAnsi="宋体" w:eastAsia="黑体" w:cs="宋体"/>
          <w:sz w:val="28"/>
          <w:szCs w:val="28"/>
          <w:lang w:val="zh-CN" w:eastAsia="zh-CN" w:bidi="zh-CN"/>
        </w:rPr>
      </w:pPr>
      <w:r>
        <w:rPr>
          <w:rFonts w:hint="eastAsia" w:ascii="黑体" w:hAnsi="宋体" w:eastAsia="黑体" w:cs="宋体"/>
          <w:sz w:val="28"/>
          <w:szCs w:val="28"/>
          <w:lang w:val="zh-CN" w:eastAsia="zh-CN" w:bidi="zh-CN"/>
        </w:rPr>
        <w:drawing>
          <wp:inline distT="0" distB="0" distL="114300" distR="114300">
            <wp:extent cx="6398260" cy="4265295"/>
            <wp:effectExtent l="0" t="0" r="2540" b="1905"/>
            <wp:docPr id="8" name="图片 8" descr="C:\Users\Administrator\Desktop\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4.jpg4"/>
                    <pic:cNvPicPr>
                      <a:picLocks noChangeAspect="1"/>
                    </pic:cNvPicPr>
                  </pic:nvPicPr>
                  <pic:blipFill>
                    <a:blip r:embed="rId10"/>
                    <a:srcRect/>
                    <a:stretch>
                      <a:fillRect/>
                    </a:stretch>
                  </pic:blipFill>
                  <pic:spPr>
                    <a:xfrm>
                      <a:off x="0" y="0"/>
                      <a:ext cx="6398260"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8260" cy="4265295"/>
            <wp:effectExtent l="0" t="0" r="2540" b="1905"/>
            <wp:docPr id="7" name="图片 7" descr="C:\Users\Administrator\Desktop\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5.jpg5"/>
                    <pic:cNvPicPr>
                      <a:picLocks noChangeAspect="1"/>
                    </pic:cNvPicPr>
                  </pic:nvPicPr>
                  <pic:blipFill>
                    <a:blip r:embed="rId11"/>
                    <a:srcRect/>
                    <a:stretch>
                      <a:fillRect/>
                    </a:stretch>
                  </pic:blipFill>
                  <pic:spPr>
                    <a:xfrm>
                      <a:off x="0" y="0"/>
                      <a:ext cx="6398260"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8260" cy="4265295"/>
            <wp:effectExtent l="0" t="0" r="2540" b="1905"/>
            <wp:docPr id="6" name="图片 6" descr="C:\Users\Administrator\Desktop\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6.jpg6"/>
                    <pic:cNvPicPr>
                      <a:picLocks noChangeAspect="1"/>
                    </pic:cNvPicPr>
                  </pic:nvPicPr>
                  <pic:blipFill>
                    <a:blip r:embed="rId12"/>
                    <a:srcRect/>
                    <a:stretch>
                      <a:fillRect/>
                    </a:stretch>
                  </pic:blipFill>
                  <pic:spPr>
                    <a:xfrm>
                      <a:off x="0" y="0"/>
                      <a:ext cx="6398260"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8260" cy="4265295"/>
            <wp:effectExtent l="0" t="0" r="2540" b="1905"/>
            <wp:docPr id="5" name="图片 5" descr="C:\Users\Administrator\Desktop\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esktop\7.jpg7"/>
                    <pic:cNvPicPr>
                      <a:picLocks noChangeAspect="1"/>
                    </pic:cNvPicPr>
                  </pic:nvPicPr>
                  <pic:blipFill>
                    <a:blip r:embed="rId13"/>
                    <a:srcRect/>
                    <a:stretch>
                      <a:fillRect/>
                    </a:stretch>
                  </pic:blipFill>
                  <pic:spPr>
                    <a:xfrm>
                      <a:off x="0" y="0"/>
                      <a:ext cx="6398260"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6990" cy="4264025"/>
            <wp:effectExtent l="0" t="0" r="3810" b="3175"/>
            <wp:docPr id="9" name="图片 9" descr="C:\Users\Administrator\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strator\Desktop\1.jpg1"/>
                    <pic:cNvPicPr>
                      <a:picLocks noChangeAspect="1"/>
                    </pic:cNvPicPr>
                  </pic:nvPicPr>
                  <pic:blipFill>
                    <a:blip r:embed="rId14"/>
                    <a:srcRect/>
                    <a:stretch>
                      <a:fillRect/>
                    </a:stretch>
                  </pic:blipFill>
                  <pic:spPr>
                    <a:xfrm>
                      <a:off x="0" y="0"/>
                      <a:ext cx="6396990" cy="4264025"/>
                    </a:xfrm>
                    <a:prstGeom prst="rect">
                      <a:avLst/>
                    </a:prstGeom>
                  </pic:spPr>
                </pic:pic>
              </a:graphicData>
            </a:graphic>
          </wp:inline>
        </w:drawing>
      </w:r>
      <w:bookmarkStart w:id="0" w:name="_GoBack"/>
      <w:r>
        <w:rPr>
          <w:rFonts w:hint="eastAsia" w:ascii="黑体" w:hAnsi="宋体" w:eastAsia="黑体" w:cs="宋体"/>
          <w:sz w:val="28"/>
          <w:szCs w:val="28"/>
          <w:lang w:val="zh-CN" w:eastAsia="zh-CN" w:bidi="zh-CN"/>
        </w:rPr>
        <w:drawing>
          <wp:inline distT="0" distB="0" distL="114300" distR="114300">
            <wp:extent cx="6398260" cy="4265295"/>
            <wp:effectExtent l="0" t="0" r="2540" b="1905"/>
            <wp:docPr id="4" name="图片 4" descr="C:\Users\Administrator\Desktop\8.jp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8.jpg8"/>
                    <pic:cNvPicPr>
                      <a:picLocks noChangeAspect="1"/>
                    </pic:cNvPicPr>
                  </pic:nvPicPr>
                  <pic:blipFill>
                    <a:blip r:embed="rId15"/>
                    <a:srcRect/>
                    <a:stretch>
                      <a:fillRect/>
                    </a:stretch>
                  </pic:blipFill>
                  <pic:spPr>
                    <a:xfrm>
                      <a:off x="0" y="0"/>
                      <a:ext cx="6398260" cy="4265295"/>
                    </a:xfrm>
                    <a:prstGeom prst="rect">
                      <a:avLst/>
                    </a:prstGeom>
                  </pic:spPr>
                </pic:pic>
              </a:graphicData>
            </a:graphic>
          </wp:inline>
        </w:drawing>
      </w:r>
      <w:bookmarkEnd w:id="0"/>
    </w:p>
    <w:sectPr>
      <w:pgSz w:w="11910" w:h="16840"/>
      <w:pgMar w:top="1980" w:right="880" w:bottom="280" w:left="920" w:header="85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auto"/>
    <w:pitch w:val="default"/>
    <w:sig w:usb0="000000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14" w:lineRule="auto"/>
      <w:rPr>
        <w:sz w:val="20"/>
      </w:rPr>
    </w:pPr>
    <w:r>
      <w:drawing>
        <wp:inline distT="0" distB="0" distL="114300" distR="114300">
          <wp:extent cx="6228080" cy="466725"/>
          <wp:effectExtent l="0" t="0" r="1270" b="9525"/>
          <wp:docPr id="12"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
                  <pic:cNvPicPr>
                    <a:picLocks noChangeAspect="1"/>
                  </pic:cNvPicPr>
                </pic:nvPicPr>
                <pic:blipFill>
                  <a:blip r:embed="rId1"/>
                  <a:srcRect t="-7713" b="7713"/>
                  <a:stretch>
                    <a:fillRect/>
                  </a:stretch>
                </pic:blipFill>
                <pic:spPr>
                  <a:xfrm>
                    <a:off x="0" y="0"/>
                    <a:ext cx="6228080" cy="466725"/>
                  </a:xfrm>
                  <a:prstGeom prst="rect">
                    <a:avLst/>
                  </a:prstGeom>
                </pic:spPr>
              </pic:pic>
            </a:graphicData>
          </a:graphic>
        </wp:inline>
      </w:drawing>
    </w:r>
    <w:r>
      <mc:AlternateContent>
        <mc:Choice Requires="wps">
          <w:drawing>
            <wp:anchor distT="0" distB="0" distL="114300" distR="114300" simplePos="0" relativeHeight="251659264" behindDoc="1" locked="0" layoutInCell="1" allowOverlap="1">
              <wp:simplePos x="0" y="0"/>
              <wp:positionH relativeFrom="page">
                <wp:posOffset>720090</wp:posOffset>
              </wp:positionH>
              <wp:positionV relativeFrom="page">
                <wp:posOffset>1252855</wp:posOffset>
              </wp:positionV>
              <wp:extent cx="6120130" cy="0"/>
              <wp:effectExtent l="0" t="0" r="0" b="0"/>
              <wp:wrapNone/>
              <wp:docPr id="50" name="直线 1"/>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98.65pt;height:0pt;width:481.9pt;mso-position-horizontal-relative:page;mso-position-vertical-relative:page;z-index:-251657216;mso-width-relative:page;mso-height-relative:page;" filled="f" stroked="t" coordsize="21600,21600" o:gfxdata="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3hOhp1wAA&#10;AAwBAAAPAAAAAAAAAAEAIAAAACIAAABkcnMvZG93bnJldi54bWxQSwECFAAUAAAACACHTuJAz3Er&#10;u+YBAADcAwAADgAAAAAAAAABACAAAAAmAQAAZHJzL2Uyb0RvYy54bWxQSwUGAAAAAAYABgBZAQAA&#10;fgU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C4493"/>
    <w:multiLevelType w:val="singleLevel"/>
    <w:tmpl w:val="2E3C44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2526D"/>
    <w:rsid w:val="08AC6FF5"/>
    <w:rsid w:val="0AD00857"/>
    <w:rsid w:val="11762014"/>
    <w:rsid w:val="1B13276C"/>
    <w:rsid w:val="277604B5"/>
    <w:rsid w:val="29D312C0"/>
    <w:rsid w:val="2E633C40"/>
    <w:rsid w:val="363C60B7"/>
    <w:rsid w:val="3CE36310"/>
    <w:rsid w:val="43C2204D"/>
    <w:rsid w:val="47951E4B"/>
    <w:rsid w:val="4B862293"/>
    <w:rsid w:val="4DFF2896"/>
    <w:rsid w:val="5092681E"/>
    <w:rsid w:val="50F873D1"/>
    <w:rsid w:val="528C6287"/>
    <w:rsid w:val="549F482F"/>
    <w:rsid w:val="57987D5E"/>
    <w:rsid w:val="6C7D1C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052" w:right="250" w:hanging="560"/>
    </w:pPr>
    <w:rPr>
      <w:rFonts w:ascii="宋体" w:hAnsi="宋体" w:eastAsia="宋体" w:cs="宋体"/>
      <w:lang w:val="zh-CN" w:eastAsia="zh-CN" w:bidi="zh-CN"/>
    </w:rPr>
  </w:style>
  <w:style w:type="paragraph" w:customStyle="1" w:styleId="10">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ScaleCrop>false</ScaleCrop>
  <LinksUpToDate>false</LinksUpToDate>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2021-02-19T01:21:00Z</dcterms:created>
  <dc:creator>Windows 用户</dc:creator>
  <cp:lastModifiedBy>爱~冰</cp:lastModifiedBy>
  <dcterms:modified xsi:type="dcterms:W3CDTF">2021-06-09T06:29:48Z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2052-11.1.0.10356</vt:lpwstr>
  </property>
  <property fmtid="{D5CDD505-2E9C-101B-9397-08002B2CF9AE}" pid="6" name="ICV">
    <vt:lpwstr>F71D3ADAA64D4EFEBAF29BE9876DEBF4</vt:lpwstr>
  </property>
</Properties>
</file>