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35B" w:rsidRDefault="009E4C11">
      <w:pPr>
        <w:jc w:val="center"/>
        <w:rPr>
          <w:rFonts w:ascii="黑体" w:eastAsia="黑体" w:hAnsi="黑体" w:cs="黑体"/>
          <w:sz w:val="32"/>
        </w:rPr>
      </w:pPr>
      <w:r>
        <w:rPr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1214120</wp:posOffset>
            </wp:positionH>
            <wp:positionV relativeFrom="paragraph">
              <wp:posOffset>38100</wp:posOffset>
            </wp:positionV>
            <wp:extent cx="3676015" cy="2337435"/>
            <wp:effectExtent l="0" t="0" r="635" b="5715"/>
            <wp:wrapTopAndBottom/>
            <wp:docPr id="1" name="图片 1" descr="x81728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81728390"/>
                    <pic:cNvPicPr>
                      <a:picLocks noChangeAspect="1"/>
                    </pic:cNvPicPr>
                  </pic:nvPicPr>
                  <pic:blipFill>
                    <a:blip r:embed="rId8"/>
                    <a:srcRect r="8250"/>
                    <a:stretch>
                      <a:fillRect/>
                    </a:stretch>
                  </pic:blipFill>
                  <pic:spPr>
                    <a:xfrm>
                      <a:off x="0" y="0"/>
                      <a:ext cx="3676015" cy="2337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82713">
        <w:rPr>
          <w:rFonts w:ascii="黑体" w:eastAsia="黑体" w:hAnsi="黑体" w:cs="黑体" w:hint="eastAsia"/>
          <w:sz w:val="32"/>
        </w:rPr>
        <w:t xml:space="preserve"> </w:t>
      </w:r>
      <w:r>
        <w:rPr>
          <w:rFonts w:ascii="黑体" w:eastAsia="黑体" w:hAnsi="黑体" w:cs="黑体" w:hint="eastAsia"/>
          <w:sz w:val="32"/>
        </w:rPr>
        <w:t>WLW5160GPSLZ型绿化喷洒车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67235B">
        <w:tc>
          <w:tcPr>
            <w:tcW w:w="9854" w:type="dxa"/>
            <w:gridSpan w:val="4"/>
          </w:tcPr>
          <w:p w:rsidR="0067235B" w:rsidRDefault="009E4C11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【主要技术参数】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产品名称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WLW5160GPSLZ型绿化喷洒车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产品号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ZREFH6NA01B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总质量(Kg)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16000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罐体容积(m3)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10.19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额定载质量(Kg)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9225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外形尺寸(mm)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8000,8100,8250×2500,2550×3250,3350,3450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整备质量(Kg)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6580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货厢尺寸(mm)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××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驾驶室准乘人数(人)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3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载质量利用系数</w:t>
            </w:r>
          </w:p>
        </w:tc>
        <w:tc>
          <w:tcPr>
            <w:tcW w:w="2464" w:type="dxa"/>
          </w:tcPr>
          <w:p w:rsidR="0067235B" w:rsidRDefault="0067235B">
            <w:pPr>
              <w:jc w:val="left"/>
              <w:rPr>
                <w:rFonts w:ascii="宋体" w:eastAsia="宋体" w:hAnsi="宋体" w:cs="宋体"/>
                <w:sz w:val="18"/>
              </w:rPr>
            </w:pP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接近角/离去角(°)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18/12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前悬/后悬(mm)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1345/2455,1345/2555,1345/2705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轴数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轴距(mm)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4200,3800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轴荷(Kg)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5600/10400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最高车速(Km/h)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89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其它</w:t>
            </w:r>
          </w:p>
        </w:tc>
        <w:tc>
          <w:tcPr>
            <w:tcW w:w="7391" w:type="dxa"/>
            <w:gridSpan w:val="3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ABS型号:ABS-E 4S/4M;ABS生产企业:威伯科汽车控制系统(中国)有限公司;侧后防护情况:侧/后防护材料为Q235,侧防护为螺栓连接,后防护为焊接连接,后防护截面尺寸120×50mm,下边缘离地高480mm;罐体有效容积(立方米)、罐体外形尺寸(mm):罐体有效容积10.19立方米,罐体尺寸为(长度×长轴×短轴)(mm):4200×2300×1500;专用功能及装置:主要由罐体和喷洒系统构成,用于园林绿化,洒水等作业;其他说明:采用4200轴距底盘,车辆长/轴距/前悬/后悬对应关系为:8000/4200/1345/2455,8100/4200/1345/2555,8250/4200/1345/2705;</w:t>
            </w:r>
          </w:p>
        </w:tc>
      </w:tr>
      <w:tr w:rsidR="0067235B">
        <w:tc>
          <w:tcPr>
            <w:tcW w:w="9854" w:type="dxa"/>
            <w:gridSpan w:val="4"/>
          </w:tcPr>
          <w:p w:rsidR="0067235B" w:rsidRDefault="009E4C11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【底盘技术参数】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底盘型号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LZ1166M3ACT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底盘名称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载货汽车底盘（二类）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商标名称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乘龙牌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生产企业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东风柳州汽车有限公司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外形尺寸(mm)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7500,7100×2490,2370×2960,2860,2790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轮胎数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接近角/离去角(°)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18/12,20/12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轮胎规格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9.00R20 16PR,10R22.5 16PR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钢板弹簧片数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8/9+5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前轮距(mm)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1916,1940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燃料种类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柴油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后轮距(mm)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1800,1860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排放标准</w:t>
            </w:r>
          </w:p>
        </w:tc>
        <w:tc>
          <w:tcPr>
            <w:tcW w:w="7391" w:type="dxa"/>
            <w:gridSpan w:val="3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GB17691-2018国Ⅵ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发动机型号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发动机生产企业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排量(ml)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功率(Kw)</w:t>
            </w:r>
          </w:p>
        </w:tc>
      </w:tr>
      <w:tr w:rsidR="0067235B"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YCS04200-68</w:t>
            </w:r>
          </w:p>
        </w:tc>
        <w:tc>
          <w:tcPr>
            <w:tcW w:w="2463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广西玉柴机器股份有限公司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4156</w:t>
            </w:r>
          </w:p>
        </w:tc>
        <w:tc>
          <w:tcPr>
            <w:tcW w:w="2464" w:type="dxa"/>
          </w:tcPr>
          <w:p w:rsidR="0067235B" w:rsidRDefault="009E4C1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147</w:t>
            </w:r>
          </w:p>
        </w:tc>
      </w:tr>
    </w:tbl>
    <w:p w:rsidR="00474F8A" w:rsidRDefault="00474F8A" w:rsidP="001A656A">
      <w:pPr>
        <w:rPr>
          <w:rFonts w:ascii="黑体" w:eastAsia="黑体" w:hAnsi="黑体"/>
          <w:sz w:val="32"/>
        </w:rPr>
      </w:pPr>
    </w:p>
    <w:p w:rsidR="001A656A" w:rsidRPr="001E71FC" w:rsidRDefault="001A656A" w:rsidP="001A656A">
      <w:pPr>
        <w:rPr>
          <w:rFonts w:ascii="黑体" w:eastAsia="黑体" w:hAnsi="黑体"/>
          <w:sz w:val="32"/>
        </w:rPr>
      </w:pPr>
      <w:r w:rsidRPr="001E71FC">
        <w:rPr>
          <w:rFonts w:ascii="黑体" w:eastAsia="黑体" w:hAnsi="黑体" w:hint="eastAsia"/>
          <w:sz w:val="32"/>
        </w:rPr>
        <w:lastRenderedPageBreak/>
        <w:t>亮</w:t>
      </w:r>
      <w:r w:rsidRPr="001E71FC">
        <w:rPr>
          <w:rFonts w:ascii="黑体" w:eastAsia="黑体" w:hAnsi="黑体"/>
          <w:sz w:val="32"/>
        </w:rPr>
        <w:t>点：</w:t>
      </w:r>
    </w:p>
    <w:p w:rsidR="001A656A" w:rsidRPr="001D7E45" w:rsidRDefault="001A656A" w:rsidP="001A656A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hint="eastAsia"/>
          <w:sz w:val="24"/>
          <w:szCs w:val="24"/>
        </w:rPr>
        <w:t>法</w:t>
      </w:r>
      <w:r w:rsidRPr="001D7E45">
        <w:rPr>
          <w:sz w:val="24"/>
          <w:szCs w:val="24"/>
        </w:rPr>
        <w:t>士</w:t>
      </w:r>
      <w:r w:rsidRPr="001D7E45">
        <w:rPr>
          <w:rFonts w:hint="eastAsia"/>
          <w:sz w:val="24"/>
          <w:szCs w:val="24"/>
        </w:rPr>
        <w:t>特</w:t>
      </w:r>
      <w:r>
        <w:rPr>
          <w:rFonts w:hint="eastAsia"/>
          <w:sz w:val="24"/>
          <w:szCs w:val="24"/>
        </w:rPr>
        <w:t>八</w:t>
      </w:r>
      <w:r>
        <w:rPr>
          <w:sz w:val="24"/>
          <w:szCs w:val="24"/>
        </w:rPr>
        <w:t>档</w:t>
      </w:r>
      <w:r w:rsidRPr="001D7E45">
        <w:rPr>
          <w:sz w:val="24"/>
          <w:szCs w:val="24"/>
        </w:rPr>
        <w:t>变速箱</w:t>
      </w:r>
      <w:r w:rsidRPr="001D7E45">
        <w:rPr>
          <w:rFonts w:hint="eastAsia"/>
          <w:sz w:val="24"/>
          <w:szCs w:val="24"/>
        </w:rPr>
        <w:t>带</w:t>
      </w:r>
      <w:r w:rsidRPr="001D7E45">
        <w:rPr>
          <w:sz w:val="24"/>
          <w:szCs w:val="24"/>
        </w:rPr>
        <w:t>原厂</w:t>
      </w:r>
      <w:r w:rsidRPr="001D7E45">
        <w:rPr>
          <w:rFonts w:hint="eastAsia"/>
          <w:sz w:val="24"/>
          <w:szCs w:val="24"/>
        </w:rPr>
        <w:t>取</w:t>
      </w:r>
      <w:r w:rsidRPr="001D7E45">
        <w:rPr>
          <w:sz w:val="24"/>
          <w:szCs w:val="24"/>
        </w:rPr>
        <w:t>力器，匹配更合理</w:t>
      </w:r>
      <w:r w:rsidRPr="001D7E45">
        <w:rPr>
          <w:rFonts w:hint="eastAsia"/>
          <w:sz w:val="24"/>
          <w:szCs w:val="24"/>
        </w:rPr>
        <w:t>，</w:t>
      </w:r>
      <w:r w:rsidRPr="001D7E45">
        <w:rPr>
          <w:sz w:val="24"/>
          <w:szCs w:val="24"/>
        </w:rPr>
        <w:t>售后无忧</w:t>
      </w:r>
      <w:r w:rsidRPr="001D7E45">
        <w:rPr>
          <w:rFonts w:hint="eastAsia"/>
          <w:sz w:val="24"/>
          <w:szCs w:val="24"/>
        </w:rPr>
        <w:t>，</w:t>
      </w:r>
    </w:p>
    <w:p w:rsidR="001A656A" w:rsidRPr="001D7E45" w:rsidRDefault="001A656A" w:rsidP="001A656A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hint="eastAsia"/>
          <w:sz w:val="24"/>
          <w:szCs w:val="24"/>
        </w:rPr>
        <w:t>玉</w:t>
      </w:r>
      <w:r w:rsidRPr="001D7E45">
        <w:rPr>
          <w:sz w:val="24"/>
          <w:szCs w:val="24"/>
        </w:rPr>
        <w:t>柴</w:t>
      </w:r>
      <w:r w:rsidRPr="001D7E45">
        <w:rPr>
          <w:rFonts w:hint="eastAsia"/>
          <w:sz w:val="24"/>
          <w:szCs w:val="24"/>
        </w:rPr>
        <w:t>200</w:t>
      </w:r>
      <w:r w:rsidRPr="001D7E45">
        <w:rPr>
          <w:rFonts w:hint="eastAsia"/>
          <w:sz w:val="24"/>
          <w:szCs w:val="24"/>
        </w:rPr>
        <w:t>马</w:t>
      </w:r>
      <w:r w:rsidRPr="001D7E45">
        <w:rPr>
          <w:sz w:val="24"/>
          <w:szCs w:val="24"/>
        </w:rPr>
        <w:t>力</w:t>
      </w:r>
      <w:r>
        <w:rPr>
          <w:rFonts w:hint="eastAsia"/>
          <w:sz w:val="24"/>
          <w:szCs w:val="24"/>
        </w:rPr>
        <w:t>省</w:t>
      </w:r>
      <w:r>
        <w:rPr>
          <w:sz w:val="24"/>
          <w:szCs w:val="24"/>
        </w:rPr>
        <w:t>油</w:t>
      </w:r>
      <w:r>
        <w:rPr>
          <w:rFonts w:hint="eastAsia"/>
          <w:sz w:val="24"/>
          <w:szCs w:val="24"/>
        </w:rPr>
        <w:t>皮</w:t>
      </w:r>
      <w:r>
        <w:rPr>
          <w:sz w:val="24"/>
          <w:szCs w:val="24"/>
        </w:rPr>
        <w:t>实</w:t>
      </w:r>
      <w:r w:rsidRPr="001D7E4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更</w:t>
      </w:r>
      <w:r>
        <w:rPr>
          <w:sz w:val="24"/>
          <w:szCs w:val="24"/>
        </w:rPr>
        <w:t>适</w:t>
      </w:r>
      <w:r>
        <w:rPr>
          <w:rFonts w:hint="eastAsia"/>
          <w:sz w:val="24"/>
          <w:szCs w:val="24"/>
        </w:rPr>
        <w:t>合</w:t>
      </w:r>
      <w:r>
        <w:rPr>
          <w:sz w:val="24"/>
          <w:szCs w:val="24"/>
        </w:rPr>
        <w:t>中国道路</w:t>
      </w:r>
      <w:r>
        <w:rPr>
          <w:rFonts w:hint="eastAsia"/>
          <w:sz w:val="24"/>
          <w:szCs w:val="24"/>
        </w:rPr>
        <w:t>，</w:t>
      </w:r>
    </w:p>
    <w:p w:rsidR="001A656A" w:rsidRPr="001D7E45" w:rsidRDefault="001A656A" w:rsidP="001A656A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sz w:val="24"/>
          <w:szCs w:val="24"/>
        </w:rPr>
        <w:t>局部加强车架更</w:t>
      </w:r>
      <w:r w:rsidRPr="001D7E45">
        <w:rPr>
          <w:rFonts w:hint="eastAsia"/>
          <w:sz w:val="24"/>
          <w:szCs w:val="24"/>
        </w:rPr>
        <w:t>牢</w:t>
      </w:r>
      <w:r w:rsidRPr="001D7E45">
        <w:rPr>
          <w:sz w:val="24"/>
          <w:szCs w:val="24"/>
        </w:rPr>
        <w:t>靠</w:t>
      </w:r>
      <w:r w:rsidRPr="001D7E45">
        <w:rPr>
          <w:rFonts w:hint="eastAsia"/>
          <w:sz w:val="24"/>
          <w:szCs w:val="24"/>
        </w:rPr>
        <w:t>，</w:t>
      </w:r>
    </w:p>
    <w:p w:rsidR="001A656A" w:rsidRPr="001D7E45" w:rsidRDefault="001A656A" w:rsidP="001A656A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T-BOX</w:t>
      </w:r>
      <w:r w:rsidRPr="001D7E45">
        <w:rPr>
          <w:rFonts w:ascii="Arial" w:hAnsi="Arial" w:cs="Arial"/>
          <w:color w:val="000000"/>
          <w:sz w:val="24"/>
          <w:szCs w:val="24"/>
          <w:shd w:val="clear" w:color="auto" w:fill="FFFFFF"/>
        </w:rPr>
        <w:t>远程信息处理器</w:t>
      </w:r>
      <w:r w:rsidRPr="001D7E45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更</w:t>
      </w:r>
      <w:r w:rsidRPr="001D7E45">
        <w:rPr>
          <w:rFonts w:ascii="Arial" w:hAnsi="Arial" w:cs="Arial"/>
          <w:color w:val="000000"/>
          <w:sz w:val="24"/>
          <w:szCs w:val="24"/>
          <w:shd w:val="clear" w:color="auto" w:fill="FFFFFF"/>
        </w:rPr>
        <w:t>高端</w:t>
      </w:r>
      <w:r w:rsidRPr="001D7E45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，</w:t>
      </w:r>
    </w:p>
    <w:p w:rsidR="001A656A" w:rsidRDefault="001A656A" w:rsidP="001A656A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hint="eastAsia"/>
          <w:sz w:val="24"/>
          <w:szCs w:val="24"/>
        </w:rPr>
        <w:t>车下起动停机功能及</w:t>
      </w:r>
      <w:r w:rsidRPr="001D7E45">
        <w:rPr>
          <w:rFonts w:hint="eastAsia"/>
          <w:sz w:val="24"/>
          <w:szCs w:val="24"/>
        </w:rPr>
        <w:t>PTO</w:t>
      </w:r>
      <w:r w:rsidRPr="001D7E45">
        <w:rPr>
          <w:rFonts w:hint="eastAsia"/>
          <w:sz w:val="24"/>
          <w:szCs w:val="24"/>
        </w:rPr>
        <w:t>开</w:t>
      </w:r>
      <w:r w:rsidRPr="001D7E45">
        <w:rPr>
          <w:sz w:val="24"/>
          <w:szCs w:val="24"/>
        </w:rPr>
        <w:t>关</w:t>
      </w:r>
      <w:r w:rsidRPr="001D7E45">
        <w:rPr>
          <w:rFonts w:hint="eastAsia"/>
          <w:sz w:val="24"/>
          <w:szCs w:val="24"/>
        </w:rPr>
        <w:t>让</w:t>
      </w:r>
      <w:r w:rsidRPr="001D7E45">
        <w:rPr>
          <w:sz w:val="24"/>
          <w:szCs w:val="24"/>
        </w:rPr>
        <w:t>车辆操作更方便。</w:t>
      </w:r>
    </w:p>
    <w:p w:rsidR="001A656A" w:rsidRDefault="001A656A" w:rsidP="001A656A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龙</w:t>
      </w:r>
      <w:r>
        <w:rPr>
          <w:sz w:val="24"/>
          <w:szCs w:val="24"/>
        </w:rPr>
        <w:t>骨</w:t>
      </w:r>
      <w:r>
        <w:rPr>
          <w:rFonts w:hint="eastAsia"/>
          <w:sz w:val="24"/>
          <w:szCs w:val="24"/>
        </w:rPr>
        <w:t>驾驶</w:t>
      </w:r>
      <w:r>
        <w:rPr>
          <w:sz w:val="24"/>
          <w:szCs w:val="24"/>
        </w:rPr>
        <w:t>室，</w:t>
      </w:r>
      <w:r>
        <w:rPr>
          <w:rFonts w:hint="eastAsia"/>
          <w:sz w:val="24"/>
          <w:szCs w:val="24"/>
        </w:rPr>
        <w:t>司</w:t>
      </w:r>
      <w:r>
        <w:rPr>
          <w:sz w:val="24"/>
          <w:szCs w:val="24"/>
        </w:rPr>
        <w:t>机更安全</w:t>
      </w:r>
      <w:r>
        <w:rPr>
          <w:rFonts w:hint="eastAsia"/>
          <w:sz w:val="24"/>
          <w:szCs w:val="24"/>
        </w:rPr>
        <w:t>。</w:t>
      </w:r>
    </w:p>
    <w:p w:rsidR="001A656A" w:rsidRDefault="001A656A" w:rsidP="001A656A">
      <w:pPr>
        <w:rPr>
          <w:sz w:val="24"/>
        </w:rPr>
      </w:pPr>
      <w:r w:rsidRPr="00310912">
        <w:rPr>
          <w:noProof/>
        </w:rPr>
        <w:drawing>
          <wp:inline distT="0" distB="0" distL="0" distR="0" wp14:anchorId="564A031C" wp14:editId="7066306C">
            <wp:extent cx="3044707" cy="2257425"/>
            <wp:effectExtent l="0" t="0" r="3810" b="0"/>
            <wp:docPr id="7" name="图片 7" descr="C:\Users\Administrator\AppData\Local\Temp\WeChat Files\0ee2f3cc24c9ee09996db814d746f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0ee2f3cc24c9ee09996db814d746f6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" t="1163" r="2737" b="4592"/>
                    <a:stretch/>
                  </pic:blipFill>
                  <pic:spPr bwMode="auto">
                    <a:xfrm>
                      <a:off x="0" y="0"/>
                      <a:ext cx="3128815" cy="23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 xml:space="preserve"> </w:t>
      </w:r>
      <w:r w:rsidRPr="0039329C">
        <w:rPr>
          <w:noProof/>
          <w:sz w:val="24"/>
        </w:rPr>
        <w:drawing>
          <wp:inline distT="0" distB="0" distL="0" distR="0" wp14:anchorId="1B5C849D" wp14:editId="47584BBC">
            <wp:extent cx="2937871" cy="2371725"/>
            <wp:effectExtent l="0" t="0" r="0" b="0"/>
            <wp:docPr id="8" name="图片 8" descr="C:\Users\Administrator\AppData\Local\Temp\WeChat Files\f488ed8748650622642e49adbdc25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f488ed8748650622642e49adbdc25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6" t="2752" r="4208"/>
                    <a:stretch/>
                  </pic:blipFill>
                  <pic:spPr bwMode="auto">
                    <a:xfrm>
                      <a:off x="0" y="0"/>
                      <a:ext cx="3001278" cy="242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656A" w:rsidRPr="00637455" w:rsidRDefault="001A656A" w:rsidP="001A656A">
      <w:pPr>
        <w:jc w:val="left"/>
        <w:rPr>
          <w:sz w:val="24"/>
        </w:rPr>
      </w:pPr>
      <w:r>
        <w:rPr>
          <w:noProof/>
        </w:rPr>
        <w:drawing>
          <wp:inline distT="0" distB="0" distL="0" distR="0" wp14:anchorId="215E36D4" wp14:editId="366A1A17">
            <wp:extent cx="3828017" cy="3105150"/>
            <wp:effectExtent l="0" t="0" r="127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44816" cy="3118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4569">
        <w:rPr>
          <w:rFonts w:ascii="宋体" w:eastAsia="宋体" w:hAnsi="宋体"/>
          <w:noProof/>
          <w:sz w:val="20"/>
        </w:rPr>
        <w:t xml:space="preserve"> </w:t>
      </w:r>
      <w:r w:rsidRPr="008061B5">
        <w:rPr>
          <w:rFonts w:ascii="宋体" w:eastAsia="宋体" w:hAnsi="宋体"/>
          <w:noProof/>
          <w:sz w:val="20"/>
        </w:rPr>
        <w:drawing>
          <wp:inline distT="0" distB="0" distL="0" distR="0" wp14:anchorId="1F77AB3D" wp14:editId="4CF1168E">
            <wp:extent cx="2009140" cy="2990850"/>
            <wp:effectExtent l="0" t="0" r="0" b="0"/>
            <wp:docPr id="12" name="图片 12" descr="C:\Users\Administrator\AppData\Local\Temp\WeChat Files\2a4d82b3c8af851c150e22fa2cce5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2a4d82b3c8af851c150e22fa2cce57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5" t="18648" r="9412" b="7282"/>
                    <a:stretch/>
                  </pic:blipFill>
                  <pic:spPr bwMode="auto">
                    <a:xfrm>
                      <a:off x="0" y="0"/>
                      <a:ext cx="2033417" cy="302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35B" w:rsidRDefault="0067235B">
      <w:pPr>
        <w:jc w:val="left"/>
        <w:rPr>
          <w:rFonts w:ascii="黑体" w:eastAsia="黑体" w:hAnsi="黑体" w:cs="黑体"/>
          <w:sz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552"/>
        <w:gridCol w:w="1134"/>
      </w:tblGrid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项目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单位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备注</w:t>
            </w: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底盘配置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柳汽乘龙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轴距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 w:rsidP="00A10BFF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4</w:t>
            </w:r>
            <w:r w:rsidR="00A10BFF">
              <w:rPr>
                <w:rFonts w:ascii="新宋体" w:eastAsia="新宋体" w:hAnsi="新宋体"/>
                <w:sz w:val="24"/>
              </w:rPr>
              <w:t>2</w:t>
            </w:r>
            <w:r>
              <w:rPr>
                <w:rFonts w:ascii="新宋体" w:eastAsia="新宋体" w:hAnsi="新宋体" w:hint="eastAsia"/>
                <w:sz w:val="24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水罐最大容积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 w:rsidP="00A10BFF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1</w:t>
            </w:r>
            <w:r w:rsidR="00A10BFF">
              <w:rPr>
                <w:rFonts w:ascii="新宋体" w:eastAsia="新宋体" w:hAnsi="新宋体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鸭嘴前冲洗宽度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≥7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洒水宽度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≥14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后圆锥喷嘴冲洗宽度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≥24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lastRenderedPageBreak/>
              <w:t>水枪射程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≥28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自吸高度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雾炮参数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选装件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雾炮射程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风机功率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KW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雾炮旋转角度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(°)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0°~360°可调整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C2758D" w:rsidTr="00C2758D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雾炮俯仰角度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(°)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-5°~90°可调整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8D" w:rsidRDefault="00C2758D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</w:tbl>
    <w:p w:rsidR="0067235B" w:rsidRDefault="009E4C11" w:rsidP="0094431E">
      <w:pPr>
        <w:pStyle w:val="a4"/>
        <w:jc w:val="left"/>
      </w:pPr>
      <w:r>
        <w:rPr>
          <w:rFonts w:hint="eastAsia"/>
        </w:rPr>
        <w:t>底盘配置：</w:t>
      </w:r>
    </w:p>
    <w:p w:rsidR="0067235B" w:rsidRDefault="009E4C11">
      <w:pPr>
        <w:jc w:val="left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 w:hint="eastAsia"/>
          <w:sz w:val="20"/>
        </w:rPr>
        <w:t>轴距4200，L31驾驶室，YCS04200-68，6J80T，Ф395离合，3.6T前桥，后桥8T/4.875,板簧8/9+5，231（6）局部加强车架，200L油箱，国产方向机，9.00R20，半浮式驾驶室悬置、手动液压翻转、夹层玻璃、电动玻璃升降器、机械减震司机座椅、加厚钢圈、MP3+收音机、空调、ABS、车载终端(行驶记录仪+兼容北斗GPS)、无遮阳罩、多态开关、右转提示功能。国产阀、自调臂、免维护电池、电控硅油风扇、车下起动停机功能、驾驶室电源总开关、PTO开关、T-BOX</w:t>
      </w:r>
    </w:p>
    <w:p w:rsidR="0067235B" w:rsidRDefault="009E4C11" w:rsidP="0094431E">
      <w:pPr>
        <w:pStyle w:val="a4"/>
        <w:jc w:val="left"/>
      </w:pPr>
      <w:r>
        <w:rPr>
          <w:rFonts w:hint="eastAsia"/>
        </w:rPr>
        <w:t>上装配置：</w:t>
      </w:r>
    </w:p>
    <w:p w:rsidR="0067235B" w:rsidRDefault="0094431E">
      <w:pPr>
        <w:jc w:val="left"/>
        <w:rPr>
          <w:rFonts w:ascii="宋体" w:eastAsia="宋体" w:hAnsi="宋体" w:cs="宋体"/>
          <w:sz w:val="20"/>
        </w:rPr>
      </w:pPr>
      <w:r w:rsidRPr="0094431E">
        <w:rPr>
          <w:rFonts w:ascii="宋体" w:eastAsia="宋体" w:hAnsi="宋体" w:cs="宋体" w:hint="eastAsia"/>
          <w:sz w:val="20"/>
        </w:rPr>
        <w:t>罐体容积严格按公告尺寸制作，4mm厚碳钢板，配亿丰水泵（可泵进泵出），带前冲，后洒，侧喷，后工作平台和绿化水炮，另带高位花洒及消防栓接口（球阀式的）。其他为洒水车标配</w:t>
      </w:r>
      <w:r>
        <w:rPr>
          <w:rFonts w:ascii="宋体" w:eastAsia="宋体" w:hAnsi="宋体" w:cs="宋体" w:hint="eastAsia"/>
          <w:sz w:val="20"/>
        </w:rPr>
        <w:t>.</w:t>
      </w:r>
    </w:p>
    <w:p w:rsidR="0094431E" w:rsidRDefault="00142D8B" w:rsidP="00142D8B">
      <w:pPr>
        <w:pStyle w:val="a4"/>
        <w:jc w:val="both"/>
      </w:pPr>
      <w:bookmarkStart w:id="0" w:name="_GoBack"/>
      <w:bookmarkEnd w:id="0"/>
      <w:r>
        <w:rPr>
          <w:rFonts w:hint="eastAsia"/>
        </w:rPr>
        <w:t>湖</w:t>
      </w:r>
      <w:r>
        <w:t>北加贝车辆全方位展示图</w:t>
      </w:r>
    </w:p>
    <w:p w:rsidR="00142D8B" w:rsidRDefault="00142D8B">
      <w:pPr>
        <w:jc w:val="left"/>
        <w:rPr>
          <w:rFonts w:ascii="宋体" w:eastAsia="宋体" w:hAnsi="宋体" w:cs="宋体"/>
          <w:sz w:val="20"/>
        </w:rPr>
      </w:pPr>
    </w:p>
    <w:p w:rsidR="009E4C11" w:rsidRDefault="009E4C11">
      <w:pPr>
        <w:jc w:val="left"/>
        <w:rPr>
          <w:rFonts w:ascii="宋体" w:eastAsia="宋体" w:hAnsi="宋体" w:cs="宋体"/>
          <w:sz w:val="20"/>
        </w:rPr>
      </w:pPr>
      <w:r>
        <w:rPr>
          <w:noProof/>
        </w:rPr>
        <w:drawing>
          <wp:inline distT="0" distB="0" distL="0" distR="0" wp14:anchorId="5B3F0269" wp14:editId="3C6BF5FD">
            <wp:extent cx="2640383" cy="180975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49471" cy="181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0"/>
        </w:rPr>
        <w:t xml:space="preserve"> </w:t>
      </w:r>
      <w:r>
        <w:rPr>
          <w:noProof/>
        </w:rPr>
        <w:drawing>
          <wp:inline distT="0" distB="0" distL="0" distR="0" wp14:anchorId="70DBAE3E" wp14:editId="0CF46755">
            <wp:extent cx="2900985" cy="17805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39610" cy="1804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C11" w:rsidRDefault="009E4C11">
      <w:pPr>
        <w:jc w:val="left"/>
        <w:rPr>
          <w:rFonts w:ascii="宋体" w:eastAsia="宋体" w:hAnsi="宋体" w:cs="宋体"/>
          <w:sz w:val="20"/>
        </w:rPr>
      </w:pPr>
      <w:r>
        <w:rPr>
          <w:noProof/>
        </w:rPr>
        <w:drawing>
          <wp:inline distT="0" distB="0" distL="0" distR="0" wp14:anchorId="4C4B8A92" wp14:editId="0361EEF3">
            <wp:extent cx="2736478" cy="1704975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47970" cy="17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0"/>
        </w:rPr>
        <w:t xml:space="preserve"> </w:t>
      </w:r>
      <w:r>
        <w:rPr>
          <w:noProof/>
        </w:rPr>
        <w:drawing>
          <wp:inline distT="0" distB="0" distL="0" distR="0" wp14:anchorId="7552FA96" wp14:editId="1E7630AD">
            <wp:extent cx="2380050" cy="2066925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4149" cy="2079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4C11">
      <w:headerReference w:type="default" r:id="rId1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5951" w:rsidRDefault="00875951" w:rsidP="00B44F58">
      <w:r>
        <w:separator/>
      </w:r>
    </w:p>
  </w:endnote>
  <w:endnote w:type="continuationSeparator" w:id="0">
    <w:p w:rsidR="00875951" w:rsidRDefault="00875951" w:rsidP="00B44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5951" w:rsidRDefault="00875951" w:rsidP="00B44F58">
      <w:r>
        <w:separator/>
      </w:r>
    </w:p>
  </w:footnote>
  <w:footnote w:type="continuationSeparator" w:id="0">
    <w:p w:rsidR="00875951" w:rsidRDefault="00875951" w:rsidP="00B44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F58" w:rsidRDefault="00B44F58" w:rsidP="00B44F58">
    <w:pPr>
      <w:pStyle w:val="a6"/>
      <w:jc w:val="left"/>
    </w:pPr>
    <w:r>
      <w:rPr>
        <w:noProof/>
      </w:rPr>
      <w:drawing>
        <wp:inline distT="0" distB="0" distL="0" distR="0" wp14:anchorId="3ECEDD41" wp14:editId="210AD9C9">
          <wp:extent cx="704850" cy="352425"/>
          <wp:effectExtent l="0" t="0" r="0" b="9525"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      </w:t>
    </w:r>
    <w:r>
      <w:rPr>
        <w:rFonts w:hint="eastAsia"/>
      </w:rPr>
      <w:t xml:space="preserve">  </w:t>
    </w:r>
    <w:r>
      <w:rPr>
        <w:rFonts w:hint="eastAsia"/>
      </w:rPr>
      <w:t>柳</w:t>
    </w:r>
    <w:r>
      <w:t>汽乘龙</w:t>
    </w:r>
    <w:r>
      <w:rPr>
        <w:rFonts w:hint="eastAsia"/>
      </w:rPr>
      <w:t>洒</w:t>
    </w:r>
    <w:r>
      <w:t>水车参数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D75B2"/>
    <w:multiLevelType w:val="hybridMultilevel"/>
    <w:tmpl w:val="3664FFC0"/>
    <w:lvl w:ilvl="0" w:tplc="1A8A6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A6A24"/>
    <w:rsid w:val="00142D8B"/>
    <w:rsid w:val="001A656A"/>
    <w:rsid w:val="001E65DA"/>
    <w:rsid w:val="00474F8A"/>
    <w:rsid w:val="004D63F7"/>
    <w:rsid w:val="006351A2"/>
    <w:rsid w:val="0067235B"/>
    <w:rsid w:val="00722BF3"/>
    <w:rsid w:val="007430F4"/>
    <w:rsid w:val="00745303"/>
    <w:rsid w:val="00875951"/>
    <w:rsid w:val="0094431E"/>
    <w:rsid w:val="00982713"/>
    <w:rsid w:val="009E4C11"/>
    <w:rsid w:val="00A10BFF"/>
    <w:rsid w:val="00B44F58"/>
    <w:rsid w:val="00BD0A1F"/>
    <w:rsid w:val="00C2758D"/>
    <w:rsid w:val="00D70097"/>
    <w:rsid w:val="2E3A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27A4AF"/>
  <w15:docId w15:val="{8EEABDFD-1050-4121-921A-29A5F82B7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next w:val="a"/>
    <w:link w:val="a5"/>
    <w:qFormat/>
    <w:rsid w:val="0094431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rsid w:val="0094431E"/>
    <w:rPr>
      <w:b/>
      <w:bCs/>
      <w:kern w:val="28"/>
      <w:sz w:val="32"/>
      <w:szCs w:val="32"/>
    </w:rPr>
  </w:style>
  <w:style w:type="paragraph" w:styleId="a6">
    <w:name w:val="header"/>
    <w:basedOn w:val="a"/>
    <w:link w:val="a7"/>
    <w:rsid w:val="00B4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44F58"/>
    <w:rPr>
      <w:kern w:val="2"/>
      <w:sz w:val="18"/>
      <w:szCs w:val="18"/>
    </w:rPr>
  </w:style>
  <w:style w:type="paragraph" w:styleId="a8">
    <w:name w:val="footer"/>
    <w:basedOn w:val="a"/>
    <w:link w:val="a9"/>
    <w:rsid w:val="00B4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44F58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1A656A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18</cp:revision>
  <dcterms:created xsi:type="dcterms:W3CDTF">2021-02-22T01:58:00Z</dcterms:created>
  <dcterms:modified xsi:type="dcterms:W3CDTF">2021-05-27T00:44:00Z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